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A8C63">
      <w:pPr>
        <w:snapToGrid w:val="0"/>
        <w:spacing w:before="158" w:beforeLines="50" w:after="158" w:afterLines="50" w:line="240" w:lineRule="auto"/>
        <w:outlineLvl w:val="9"/>
      </w:pPr>
      <w:bookmarkStart w:id="0" w:name="OLE_LINK3"/>
      <w:bookmarkStart w:id="1" w:name="OLE_LINK1"/>
    </w:p>
    <w:p w14:paraId="01105F9B">
      <w:pPr>
        <w:pStyle w:val="4"/>
        <w:snapToGrid w:val="0"/>
        <w:spacing w:before="158" w:beforeLines="50" w:after="158" w:afterLines="50" w:line="240" w:lineRule="auto"/>
      </w:pPr>
      <w:bookmarkStart w:id="2" w:name="_Toc13413"/>
      <w:bookmarkStart w:id="3" w:name="_Toc145426379"/>
      <w:bookmarkStart w:id="4" w:name="_Toc146031774"/>
      <w:bookmarkStart w:id="5" w:name="_Toc141780407"/>
      <w:bookmarkStart w:id="6" w:name="_Toc4046"/>
      <w:r>
        <w:rPr>
          <w:rFonts w:hint="eastAsia" w:ascii="宋体" w:hAnsi="宋体"/>
          <w:sz w:val="24"/>
          <w:szCs w:val="24"/>
        </w:rPr>
        <w:t>附件</w:t>
      </w:r>
      <w:r>
        <w:rPr>
          <w:rFonts w:ascii="宋体" w:hAnsi="宋体"/>
          <w:sz w:val="24"/>
          <w:szCs w:val="24"/>
        </w:rPr>
        <w:t>1</w:t>
      </w:r>
      <w:r>
        <w:rPr>
          <w:rFonts w:hint="eastAsia" w:ascii="宋体" w:hAnsi="宋体"/>
          <w:sz w:val="24"/>
          <w:szCs w:val="24"/>
        </w:rPr>
        <w:t>：资格审查条件</w:t>
      </w:r>
      <w:bookmarkEnd w:id="2"/>
    </w:p>
    <w:p w14:paraId="045DB4BD">
      <w:pPr>
        <w:jc w:val="center"/>
      </w:pPr>
    </w:p>
    <w:p w14:paraId="2AF9193F">
      <w:pPr>
        <w:jc w:val="center"/>
        <w:rPr>
          <w:rFonts w:hint="eastAsia" w:ascii="宋体" w:hAnsi="宋体"/>
          <w:b/>
          <w:sz w:val="24"/>
          <w:szCs w:val="24"/>
        </w:rPr>
      </w:pPr>
      <w:r>
        <w:rPr>
          <w:rFonts w:hint="eastAsia" w:ascii="宋体" w:hAnsi="宋体"/>
          <w:b/>
          <w:sz w:val="24"/>
          <w:szCs w:val="24"/>
        </w:rPr>
        <w:t>附录1  资格审查条件（资质最低要求）</w:t>
      </w:r>
    </w:p>
    <w:p w14:paraId="5E683507">
      <w:pPr>
        <w:jc w:val="center"/>
        <w:rPr>
          <w:rFonts w:hint="eastAsia" w:ascii="宋体" w:hAnsi="宋体"/>
          <w:b/>
          <w:sz w:val="24"/>
          <w:szCs w:val="24"/>
        </w:rPr>
      </w:pP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A827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000" w:type="pct"/>
            <w:vAlign w:val="center"/>
          </w:tcPr>
          <w:p w14:paraId="5AEF1C95">
            <w:pPr>
              <w:keepNext w:val="0"/>
              <w:keepLines w:val="0"/>
              <w:suppressLineNumbers w:val="0"/>
              <w:adjustRightInd w:val="0"/>
              <w:snapToGrid w:val="0"/>
              <w:spacing w:before="0" w:beforeAutospacing="0" w:after="0" w:afterAutospacing="0" w:line="320" w:lineRule="exact"/>
              <w:ind w:left="-2" w:leftChars="-1" w:right="0"/>
              <w:jc w:val="center"/>
              <w:rPr>
                <w:rFonts w:hint="eastAsia" w:ascii="宋体" w:hAnsi="宋体"/>
                <w:szCs w:val="21"/>
              </w:rPr>
            </w:pPr>
            <w:r>
              <w:rPr>
                <w:rFonts w:hint="eastAsia" w:ascii="宋体" w:hAnsi="宋体"/>
                <w:szCs w:val="21"/>
              </w:rPr>
              <w:t>资质要求</w:t>
            </w:r>
          </w:p>
        </w:tc>
      </w:tr>
      <w:tr w14:paraId="5584C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000" w:type="pct"/>
            <w:vAlign w:val="center"/>
          </w:tcPr>
          <w:p w14:paraId="02A60CF9">
            <w:pPr>
              <w:keepNext w:val="0"/>
              <w:keepLines w:val="0"/>
              <w:suppressLineNumbers w:val="0"/>
              <w:snapToGrid w:val="0"/>
              <w:spacing w:before="0" w:beforeAutospacing="0" w:after="0" w:afterAutospacing="0" w:line="320" w:lineRule="exact"/>
              <w:ind w:left="0" w:right="0"/>
              <w:rPr>
                <w:rFonts w:hint="eastAsia" w:ascii="宋体" w:hAnsi="宋体"/>
                <w:szCs w:val="21"/>
              </w:rPr>
            </w:pPr>
            <w:r>
              <w:rPr>
                <w:rFonts w:hint="eastAsia" w:ascii="宋体" w:hAnsi="宋体"/>
                <w:kern w:val="0"/>
                <w:szCs w:val="21"/>
              </w:rPr>
              <w:t>具有</w:t>
            </w:r>
            <w:r>
              <w:rPr>
                <w:rFonts w:hint="eastAsia"/>
              </w:rPr>
              <w:t>独立法人资格，持有有效营业执照</w:t>
            </w:r>
            <w:r>
              <w:rPr>
                <w:rFonts w:hint="eastAsia"/>
                <w:lang w:val="en-US" w:eastAsia="zh-CN"/>
              </w:rPr>
              <w:t>或事业单位法人登记证书</w:t>
            </w:r>
            <w:r>
              <w:rPr>
                <w:rFonts w:hint="eastAsia"/>
              </w:rPr>
              <w:t>。</w:t>
            </w:r>
          </w:p>
        </w:tc>
      </w:tr>
    </w:tbl>
    <w:p w14:paraId="25969F11">
      <w:pPr>
        <w:rPr>
          <w:rFonts w:hint="eastAsia" w:ascii="宋体" w:hAnsi="宋体"/>
          <w:sz w:val="24"/>
          <w:szCs w:val="24"/>
        </w:rPr>
      </w:pPr>
    </w:p>
    <w:p w14:paraId="01CA6AA6">
      <w:pPr>
        <w:rPr>
          <w:rFonts w:hint="eastAsia" w:ascii="宋体" w:hAnsi="宋体"/>
          <w:sz w:val="24"/>
          <w:szCs w:val="24"/>
        </w:rPr>
      </w:pPr>
    </w:p>
    <w:p w14:paraId="6DED53C8">
      <w:pPr>
        <w:rPr>
          <w:rFonts w:hint="eastAsia" w:ascii="宋体" w:hAnsi="宋体"/>
          <w:sz w:val="24"/>
          <w:szCs w:val="24"/>
        </w:rPr>
      </w:pPr>
    </w:p>
    <w:p w14:paraId="5CD86DA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b/>
          <w:sz w:val="24"/>
          <w:szCs w:val="24"/>
        </w:rPr>
      </w:pPr>
      <w:r>
        <w:rPr>
          <w:rFonts w:hint="eastAsia" w:ascii="宋体" w:hAnsi="宋体"/>
          <w:b/>
          <w:sz w:val="24"/>
          <w:szCs w:val="24"/>
        </w:rPr>
        <w:t>附录2  资格审查条件（业绩最低要求）</w:t>
      </w:r>
    </w:p>
    <w:p w14:paraId="5ECACF34">
      <w:pPr>
        <w:jc w:val="center"/>
        <w:rPr>
          <w:rFonts w:hint="eastAsia" w:ascii="宋体" w:hAnsi="宋体"/>
          <w:b/>
          <w:sz w:val="24"/>
          <w:szCs w:val="24"/>
        </w:rPr>
      </w:pPr>
    </w:p>
    <w:tbl>
      <w:tblPr>
        <w:tblStyle w:val="8"/>
        <w:tblW w:w="8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3"/>
      </w:tblGrid>
      <w:tr w14:paraId="7DB1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63" w:type="dxa"/>
            <w:vAlign w:val="center"/>
          </w:tcPr>
          <w:p w14:paraId="003011F0">
            <w:pPr>
              <w:keepNext w:val="0"/>
              <w:keepLines w:val="0"/>
              <w:suppressLineNumbers w:val="0"/>
              <w:spacing w:before="0" w:beforeAutospacing="0" w:after="0" w:afterAutospacing="0"/>
              <w:ind w:left="0" w:right="0"/>
              <w:jc w:val="center"/>
              <w:rPr>
                <w:rFonts w:hint="eastAsia" w:ascii="宋体" w:hAnsi="宋体"/>
                <w:szCs w:val="21"/>
                <w:highlight w:val="none"/>
              </w:rPr>
            </w:pPr>
            <w:r>
              <w:rPr>
                <w:rFonts w:hint="eastAsia" w:ascii="宋体" w:hAnsi="宋体"/>
                <w:szCs w:val="21"/>
                <w:highlight w:val="none"/>
              </w:rPr>
              <w:t>业绩要求</w:t>
            </w:r>
          </w:p>
        </w:tc>
      </w:tr>
      <w:tr w14:paraId="22B1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8563" w:type="dxa"/>
            <w:vAlign w:val="center"/>
          </w:tcPr>
          <w:p w14:paraId="65040EE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20" w:firstLineChars="200"/>
              <w:textAlignment w:val="auto"/>
              <w:rPr>
                <w:rFonts w:hint="default" w:ascii="宋体" w:hAnsi="宋体" w:eastAsia="宋体"/>
                <w:color w:val="000000"/>
                <w:szCs w:val="21"/>
                <w:highlight w:val="none"/>
                <w:lang w:val="en-US" w:eastAsia="zh-CN"/>
              </w:rPr>
            </w:pPr>
            <w:r>
              <w:rPr>
                <w:rFonts w:hint="eastAsia" w:ascii="宋体" w:hAnsi="宋体"/>
                <w:color w:val="000000"/>
                <w:szCs w:val="21"/>
                <w:highlight w:val="none"/>
              </w:rPr>
              <w:t>投标人近 5 年</w:t>
            </w:r>
            <w:r>
              <w:rPr>
                <w:rFonts w:hint="eastAsia" w:ascii="宋体" w:hAnsi="宋体"/>
                <w:color w:val="000000"/>
                <w:szCs w:val="21"/>
                <w:highlight w:val="none"/>
                <w:lang w:eastAsia="zh-CN"/>
              </w:rPr>
              <w:t>（</w:t>
            </w:r>
            <w:r>
              <w:rPr>
                <w:rFonts w:hint="eastAsia" w:ascii="宋体" w:hAnsi="宋体"/>
                <w:color w:val="000000"/>
                <w:szCs w:val="21"/>
                <w:highlight w:val="none"/>
                <w:lang w:eastAsia="zh"/>
              </w:rPr>
              <w:t>2019年</w:t>
            </w:r>
            <w:r>
              <w:rPr>
                <w:rFonts w:hint="eastAsia" w:ascii="宋体" w:hAnsi="宋体"/>
                <w:color w:val="000000"/>
                <w:szCs w:val="21"/>
                <w:highlight w:val="none"/>
                <w:lang w:eastAsia="zh-CN"/>
              </w:rPr>
              <w:t>12月1日</w:t>
            </w:r>
            <w:r>
              <w:rPr>
                <w:rFonts w:hint="default" w:ascii="宋体" w:hAnsi="宋体"/>
                <w:color w:val="000000"/>
                <w:szCs w:val="21"/>
                <w:highlight w:val="none"/>
              </w:rPr>
              <w:t>至今</w:t>
            </w:r>
            <w:r>
              <w:rPr>
                <w:rFonts w:hint="eastAsia" w:ascii="宋体" w:hAnsi="宋体"/>
                <w:color w:val="000000"/>
                <w:szCs w:val="21"/>
                <w:highlight w:val="none"/>
                <w:lang w:eastAsia="zh-CN"/>
              </w:rPr>
              <w:t>，</w:t>
            </w:r>
            <w:r>
              <w:rPr>
                <w:rFonts w:hint="eastAsia" w:ascii="宋体" w:hAnsi="宋体"/>
                <w:color w:val="000000"/>
                <w:szCs w:val="21"/>
                <w:highlight w:val="none"/>
              </w:rPr>
              <w:t>以合同签订时间为准）</w:t>
            </w:r>
            <w:r>
              <w:rPr>
                <w:rFonts w:hint="default" w:ascii="宋体" w:hAnsi="宋体"/>
                <w:color w:val="000000"/>
                <w:szCs w:val="21"/>
                <w:highlight w:val="none"/>
              </w:rPr>
              <w:t>，</w:t>
            </w:r>
            <w:r>
              <w:rPr>
                <w:rFonts w:hint="eastAsia" w:ascii="宋体" w:hAnsi="宋体"/>
                <w:color w:val="000000"/>
                <w:szCs w:val="21"/>
                <w:highlight w:val="none"/>
                <w:lang w:val="en-US" w:eastAsia="zh-CN"/>
              </w:rPr>
              <w:t>须同时满足以下业绩</w:t>
            </w:r>
          </w:p>
          <w:p w14:paraId="306B21E0">
            <w:pPr>
              <w:keepNext w:val="0"/>
              <w:keepLines w:val="0"/>
              <w:pageBreakBefore w:val="0"/>
              <w:widowControl w:val="0"/>
              <w:numPr>
                <w:ilvl w:val="0"/>
                <w:numId w:val="1"/>
              </w:numPr>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20" w:firstLineChars="200"/>
              <w:textAlignment w:val="auto"/>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完成1项</w:t>
            </w:r>
            <w:r>
              <w:rPr>
                <w:rFonts w:hint="eastAsia" w:ascii="宋体" w:hAnsi="宋体"/>
                <w:b w:val="0"/>
                <w:bCs w:val="0"/>
                <w:color w:val="000000"/>
                <w:szCs w:val="21"/>
                <w:highlight w:val="none"/>
                <w:lang w:val="en-US" w:eastAsia="zh-CN"/>
              </w:rPr>
              <w:t>交通运输类公路行业</w:t>
            </w:r>
            <w:r>
              <w:rPr>
                <w:rFonts w:hint="eastAsia" w:ascii="宋体" w:hAnsi="宋体"/>
                <w:color w:val="000000"/>
                <w:szCs w:val="21"/>
                <w:highlight w:val="none"/>
                <w:lang w:val="en-US" w:eastAsia="zh-CN"/>
              </w:rPr>
              <w:t>企业五年或中长期战略规划编制咨询业绩。</w:t>
            </w:r>
          </w:p>
          <w:p w14:paraId="7AA1A694">
            <w:pPr>
              <w:keepNext w:val="0"/>
              <w:keepLines w:val="0"/>
              <w:pageBreakBefore w:val="0"/>
              <w:widowControl w:val="0"/>
              <w:numPr>
                <w:ilvl w:val="0"/>
                <w:numId w:val="1"/>
              </w:numPr>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20" w:firstLineChars="200"/>
              <w:textAlignment w:val="auto"/>
              <w:rPr>
                <w:rFonts w:hint="eastAsia" w:ascii="宋体" w:hAnsi="宋体" w:eastAsia="宋体"/>
                <w:kern w:val="0"/>
                <w:szCs w:val="21"/>
                <w:highlight w:val="none"/>
                <w:lang w:eastAsia="zh"/>
              </w:rPr>
            </w:pPr>
            <w:r>
              <w:rPr>
                <w:rFonts w:hint="eastAsia" w:ascii="宋体" w:hAnsi="宋体"/>
                <w:color w:val="000000"/>
                <w:szCs w:val="21"/>
                <w:highlight w:val="none"/>
                <w:lang w:val="en-US" w:eastAsia="zh-CN"/>
              </w:rPr>
              <w:t>完成1项</w:t>
            </w:r>
            <w:r>
              <w:rPr>
                <w:rFonts w:hint="eastAsia" w:ascii="宋体" w:hAnsi="宋体"/>
                <w:color w:val="000000"/>
                <w:szCs w:val="21"/>
                <w:highlight w:val="none"/>
                <w:lang w:eastAsia="zh"/>
              </w:rPr>
              <w:t>科技创新规划</w:t>
            </w:r>
            <w:r>
              <w:rPr>
                <w:rFonts w:hint="eastAsia" w:ascii="宋体" w:hAnsi="宋体"/>
                <w:color w:val="000000"/>
                <w:szCs w:val="21"/>
                <w:highlight w:val="none"/>
                <w:lang w:val="en-US" w:eastAsia="zh-CN"/>
              </w:rPr>
              <w:t>编制咨询业绩</w:t>
            </w:r>
            <w:r>
              <w:rPr>
                <w:rFonts w:hint="eastAsia" w:ascii="宋体" w:hAnsi="宋体"/>
                <w:color w:val="000000"/>
                <w:szCs w:val="21"/>
                <w:highlight w:val="none"/>
                <w:lang w:eastAsia="zh"/>
              </w:rPr>
              <w:t>。</w:t>
            </w:r>
          </w:p>
        </w:tc>
      </w:tr>
      <w:tr w14:paraId="06251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563" w:type="dxa"/>
            <w:vAlign w:val="center"/>
          </w:tcPr>
          <w:p w14:paraId="58DF555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rightChars="0"/>
              <w:textAlignment w:val="auto"/>
              <w:rPr>
                <w:rFonts w:hint="default" w:ascii="宋体" w:hAnsi="宋体"/>
                <w:color w:val="000000"/>
                <w:szCs w:val="21"/>
                <w:highlight w:val="none"/>
                <w:lang w:val="en-US" w:eastAsia="zh-CN"/>
              </w:rPr>
            </w:pPr>
            <w:r>
              <w:rPr>
                <w:rFonts w:hint="eastAsia" w:ascii="宋体" w:hAnsi="宋体"/>
                <w:color w:val="000000"/>
                <w:szCs w:val="21"/>
                <w:highlight w:val="none"/>
                <w:lang w:val="en-US" w:eastAsia="zh-CN"/>
              </w:rPr>
              <w:t>注：投标人提供的1项业绩中同时满足业绩1和业绩2的，认定为满足本项资格条件。</w:t>
            </w:r>
          </w:p>
        </w:tc>
      </w:tr>
    </w:tbl>
    <w:p w14:paraId="168ACB5E">
      <w:pPr>
        <w:rPr>
          <w:rFonts w:hint="eastAsia" w:ascii="宋体" w:hAnsi="宋体"/>
          <w:sz w:val="24"/>
          <w:szCs w:val="24"/>
        </w:rPr>
      </w:pPr>
    </w:p>
    <w:p w14:paraId="5A6DB66C">
      <w:pPr>
        <w:widowControl/>
        <w:jc w:val="center"/>
        <w:rPr>
          <w:rFonts w:hint="eastAsia" w:ascii="宋体" w:hAnsi="宋体"/>
          <w:b/>
          <w:sz w:val="24"/>
          <w:szCs w:val="24"/>
        </w:rPr>
      </w:pPr>
    </w:p>
    <w:p w14:paraId="76CE1615">
      <w:pPr>
        <w:widowControl/>
        <w:jc w:val="center"/>
        <w:rPr>
          <w:rFonts w:hint="eastAsia" w:ascii="宋体" w:hAnsi="宋体"/>
          <w:b/>
          <w:sz w:val="24"/>
          <w:szCs w:val="24"/>
        </w:rPr>
      </w:pPr>
    </w:p>
    <w:p w14:paraId="1D137AF6">
      <w:pPr>
        <w:widowControl/>
        <w:jc w:val="center"/>
        <w:rPr>
          <w:rFonts w:hint="eastAsia" w:ascii="宋体" w:hAnsi="宋体"/>
          <w:b/>
          <w:sz w:val="24"/>
          <w:szCs w:val="24"/>
        </w:rPr>
      </w:pPr>
    </w:p>
    <w:p w14:paraId="3834F0D4">
      <w:pPr>
        <w:widowControl/>
        <w:jc w:val="center"/>
        <w:rPr>
          <w:rFonts w:hint="eastAsia" w:ascii="宋体" w:hAnsi="宋体"/>
          <w:b/>
          <w:sz w:val="24"/>
          <w:szCs w:val="24"/>
        </w:rPr>
      </w:pPr>
    </w:p>
    <w:p w14:paraId="17619C77">
      <w:pPr>
        <w:widowControl/>
        <w:jc w:val="center"/>
        <w:rPr>
          <w:rFonts w:hint="eastAsia" w:ascii="宋体" w:hAnsi="宋体"/>
          <w:b/>
          <w:bCs/>
          <w:szCs w:val="21"/>
        </w:rPr>
      </w:pPr>
      <w:r>
        <w:rPr>
          <w:rFonts w:hint="eastAsia" w:ascii="宋体" w:hAnsi="宋体"/>
          <w:b/>
          <w:sz w:val="24"/>
          <w:szCs w:val="24"/>
        </w:rPr>
        <w:t>附</w:t>
      </w:r>
      <w:r>
        <w:rPr>
          <w:rFonts w:ascii="宋体" w:hAnsi="宋体"/>
          <w:b/>
          <w:bCs/>
          <w:sz w:val="24"/>
          <w:szCs w:val="24"/>
        </w:rPr>
        <w:t>录</w:t>
      </w:r>
      <w:r>
        <w:rPr>
          <w:rFonts w:hint="eastAsia" w:ascii="宋体" w:hAnsi="宋体"/>
          <w:b/>
          <w:bCs/>
          <w:sz w:val="24"/>
          <w:szCs w:val="24"/>
          <w:lang w:val="en-US" w:eastAsia="zh-CN"/>
        </w:rPr>
        <w:t>3</w:t>
      </w:r>
      <w:r>
        <w:rPr>
          <w:rFonts w:ascii="宋体" w:hAnsi="宋体"/>
          <w:b/>
          <w:bCs/>
          <w:sz w:val="24"/>
          <w:szCs w:val="24"/>
        </w:rPr>
        <w:t xml:space="preserve">  资格审查条件（信誉要求</w:t>
      </w:r>
      <w:r>
        <w:rPr>
          <w:rFonts w:hint="eastAsia" w:ascii="宋体" w:hAnsi="宋体"/>
          <w:b/>
          <w:bCs/>
          <w:szCs w:val="21"/>
        </w:rPr>
        <w:t>）</w:t>
      </w:r>
    </w:p>
    <w:p w14:paraId="6769DAE9">
      <w:pPr>
        <w:pStyle w:val="7"/>
      </w:pPr>
    </w:p>
    <w:tbl>
      <w:tblPr>
        <w:tblStyle w:val="8"/>
        <w:tblW w:w="48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4"/>
      </w:tblGrid>
      <w:tr w14:paraId="35CFF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vAlign w:val="center"/>
          </w:tcPr>
          <w:p w14:paraId="6F53C6F4">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b/>
                <w:szCs w:val="21"/>
              </w:rPr>
            </w:pPr>
            <w:r>
              <w:rPr>
                <w:rFonts w:hint="default" w:ascii="宋体" w:hAnsi="宋体"/>
                <w:szCs w:val="21"/>
              </w:rPr>
              <w:t>信    誉</w:t>
            </w:r>
          </w:p>
        </w:tc>
      </w:tr>
      <w:tr w14:paraId="5E216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2" w:hRule="atLeast"/>
          <w:jc w:val="center"/>
        </w:trPr>
        <w:tc>
          <w:tcPr>
            <w:tcW w:w="5000" w:type="pct"/>
            <w:vAlign w:val="center"/>
          </w:tcPr>
          <w:p w14:paraId="40EC195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20" w:firstLineChars="200"/>
              <w:textAlignment w:val="auto"/>
              <w:rPr>
                <w:rFonts w:hint="default" w:hAnsi="宋体"/>
                <w:sz w:val="21"/>
                <w:szCs w:val="21"/>
              </w:rPr>
            </w:pPr>
            <w:r>
              <w:rPr>
                <w:rFonts w:hint="eastAsia" w:ascii="宋体" w:hAnsi="宋体" w:eastAsia="宋体" w:cs="Times New Roman"/>
                <w:color w:val="000000"/>
                <w:szCs w:val="21"/>
                <w:highlight w:val="none"/>
              </w:rPr>
              <w:t>投标人过去1年（</w:t>
            </w:r>
            <w:r>
              <w:rPr>
                <w:rFonts w:hint="eastAsia" w:ascii="宋体" w:hAnsi="宋体" w:eastAsia="宋体" w:cs="Times New Roman"/>
                <w:color w:val="000000"/>
                <w:szCs w:val="21"/>
                <w:highlight w:val="none"/>
                <w:lang w:eastAsia="zh"/>
              </w:rPr>
              <w:t>2023年</w:t>
            </w:r>
            <w:r>
              <w:rPr>
                <w:rFonts w:hint="eastAsia" w:ascii="宋体" w:hAnsi="宋体" w:cs="Times New Roman"/>
                <w:color w:val="000000"/>
                <w:szCs w:val="21"/>
                <w:highlight w:val="none"/>
                <w:lang w:eastAsia="zh-CN"/>
              </w:rPr>
              <w:t>12月1日</w:t>
            </w:r>
            <w:r>
              <w:rPr>
                <w:rFonts w:hint="eastAsia" w:ascii="宋体" w:hAnsi="宋体" w:eastAsia="宋体" w:cs="Times New Roman"/>
                <w:color w:val="000000"/>
                <w:szCs w:val="21"/>
                <w:highlight w:val="none"/>
              </w:rPr>
              <w:t>至今）中不曾在咨询项目中违约而被驱逐或因投标人自身的原因而使项目合同被解除。</w:t>
            </w:r>
            <w:bookmarkStart w:id="28" w:name="_GoBack"/>
            <w:bookmarkEnd w:id="28"/>
          </w:p>
        </w:tc>
      </w:tr>
    </w:tbl>
    <w:p w14:paraId="1B6A98FD">
      <w:pPr>
        <w:jc w:val="both"/>
        <w:rPr>
          <w:rFonts w:hint="eastAsia" w:ascii="宋体" w:hAnsi="宋体" w:eastAsia="宋体" w:cs="Times New Roman"/>
          <w:b/>
          <w:sz w:val="24"/>
          <w:szCs w:val="24"/>
        </w:rPr>
      </w:pPr>
    </w:p>
    <w:p w14:paraId="151B759B">
      <w:pPr>
        <w:jc w:val="both"/>
        <w:rPr>
          <w:rFonts w:hint="eastAsia" w:ascii="宋体" w:hAnsi="宋体" w:eastAsia="宋体" w:cs="Times New Roman"/>
          <w:b/>
          <w:sz w:val="24"/>
          <w:szCs w:val="24"/>
        </w:rPr>
      </w:pPr>
    </w:p>
    <w:p w14:paraId="4D5B2F37">
      <w:pPr>
        <w:jc w:val="both"/>
        <w:rPr>
          <w:rFonts w:hint="eastAsia" w:ascii="宋体" w:hAnsi="宋体" w:eastAsia="宋体" w:cs="Times New Roman"/>
          <w:b/>
          <w:sz w:val="24"/>
          <w:szCs w:val="24"/>
        </w:rPr>
      </w:pPr>
    </w:p>
    <w:p w14:paraId="476BBB9D">
      <w:pPr>
        <w:jc w:val="both"/>
        <w:rPr>
          <w:rFonts w:hint="eastAsia" w:ascii="宋体" w:hAnsi="宋体" w:eastAsia="宋体" w:cs="Times New Roman"/>
          <w:b/>
          <w:sz w:val="24"/>
          <w:szCs w:val="24"/>
        </w:rPr>
      </w:pPr>
    </w:p>
    <w:p w14:paraId="2D26954B">
      <w:pPr>
        <w:jc w:val="both"/>
        <w:rPr>
          <w:rFonts w:hint="eastAsia" w:ascii="宋体" w:hAnsi="宋体" w:eastAsia="宋体" w:cs="Times New Roman"/>
          <w:b/>
          <w:sz w:val="24"/>
          <w:szCs w:val="24"/>
        </w:rPr>
      </w:pPr>
    </w:p>
    <w:p w14:paraId="22BE65E8">
      <w:pPr>
        <w:jc w:val="both"/>
        <w:rPr>
          <w:rFonts w:hint="eastAsia" w:ascii="宋体" w:hAnsi="宋体" w:eastAsia="宋体" w:cs="Times New Roman"/>
          <w:b/>
          <w:sz w:val="24"/>
          <w:szCs w:val="24"/>
        </w:rPr>
      </w:pPr>
    </w:p>
    <w:p w14:paraId="4A0E2A74">
      <w:pPr>
        <w:jc w:val="both"/>
        <w:rPr>
          <w:rFonts w:hint="eastAsia" w:ascii="宋体" w:hAnsi="宋体" w:eastAsia="宋体" w:cs="Times New Roman"/>
          <w:b/>
          <w:sz w:val="24"/>
          <w:szCs w:val="24"/>
        </w:rPr>
      </w:pPr>
    </w:p>
    <w:p w14:paraId="76FC1C1D">
      <w:pPr>
        <w:rPr>
          <w:rFonts w:hint="eastAsia" w:ascii="宋体" w:hAnsi="宋体" w:eastAsia="宋体" w:cs="Times New Roman"/>
          <w:b/>
          <w:sz w:val="24"/>
          <w:szCs w:val="24"/>
        </w:rPr>
      </w:pPr>
      <w:r>
        <w:rPr>
          <w:rFonts w:hint="eastAsia" w:ascii="宋体" w:hAnsi="宋体" w:eastAsia="宋体" w:cs="Times New Roman"/>
          <w:b/>
          <w:sz w:val="24"/>
          <w:szCs w:val="24"/>
        </w:rPr>
        <w:br w:type="page"/>
      </w:r>
    </w:p>
    <w:p w14:paraId="2422CD0C">
      <w:pPr>
        <w:jc w:val="center"/>
        <w:rPr>
          <w:rFonts w:hint="eastAsia" w:ascii="宋体" w:hAnsi="宋体" w:eastAsia="宋体" w:cs="Times New Roman"/>
          <w:b/>
          <w:sz w:val="24"/>
          <w:szCs w:val="24"/>
        </w:rPr>
      </w:pPr>
      <w:r>
        <w:rPr>
          <w:rFonts w:hint="eastAsia" w:ascii="宋体" w:hAnsi="宋体" w:eastAsia="宋体" w:cs="Times New Roman"/>
          <w:b/>
          <w:sz w:val="24"/>
          <w:szCs w:val="24"/>
        </w:rPr>
        <w:t>附录</w:t>
      </w:r>
      <w:r>
        <w:rPr>
          <w:rFonts w:hint="eastAsia" w:ascii="宋体" w:hAnsi="宋体" w:eastAsia="宋体" w:cs="Times New Roman"/>
          <w:b/>
          <w:sz w:val="24"/>
          <w:szCs w:val="24"/>
          <w:lang w:val="en-US" w:eastAsia="zh-CN"/>
        </w:rPr>
        <w:t>4</w:t>
      </w:r>
      <w:r>
        <w:rPr>
          <w:rFonts w:hint="eastAsia" w:ascii="宋体" w:hAnsi="宋体" w:eastAsia="宋体" w:cs="Times New Roman"/>
          <w:b/>
          <w:sz w:val="24"/>
          <w:szCs w:val="24"/>
        </w:rPr>
        <w:t xml:space="preserve">  资格审查条件（主要人员资格</w:t>
      </w:r>
      <w:r>
        <w:rPr>
          <w:rFonts w:hint="eastAsia" w:ascii="宋体" w:hAnsi="宋体" w:cs="Times New Roman"/>
          <w:b/>
          <w:sz w:val="24"/>
          <w:szCs w:val="24"/>
          <w:lang w:eastAsia="zh"/>
        </w:rPr>
        <w:t>最低</w:t>
      </w:r>
      <w:r>
        <w:rPr>
          <w:rFonts w:hint="eastAsia" w:ascii="宋体" w:hAnsi="宋体" w:eastAsia="宋体" w:cs="Times New Roman"/>
          <w:b/>
          <w:sz w:val="24"/>
          <w:szCs w:val="24"/>
        </w:rPr>
        <w:t>要求）</w:t>
      </w:r>
    </w:p>
    <w:p w14:paraId="5A3F1BC7">
      <w:pPr>
        <w:pStyle w:val="7"/>
        <w:rPr>
          <w:rFonts w:hint="eastAsia"/>
        </w:rPr>
      </w:pPr>
    </w:p>
    <w:tbl>
      <w:tblPr>
        <w:tblStyle w:val="8"/>
        <w:tblW w:w="46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3"/>
        <w:gridCol w:w="717"/>
        <w:gridCol w:w="5387"/>
      </w:tblGrid>
      <w:tr w14:paraId="0BD69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1183" w:type="pct"/>
            <w:vAlign w:val="center"/>
          </w:tcPr>
          <w:p w14:paraId="3DBFEB60">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szCs w:val="21"/>
              </w:rPr>
            </w:pPr>
            <w:r>
              <w:rPr>
                <w:rFonts w:hint="default" w:ascii="宋体" w:hAnsi="宋体"/>
                <w:szCs w:val="21"/>
              </w:rPr>
              <w:t>人  员</w:t>
            </w:r>
          </w:p>
        </w:tc>
        <w:tc>
          <w:tcPr>
            <w:tcW w:w="448" w:type="pct"/>
            <w:vAlign w:val="center"/>
          </w:tcPr>
          <w:p w14:paraId="7AECC7ED">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szCs w:val="21"/>
              </w:rPr>
            </w:pPr>
            <w:r>
              <w:rPr>
                <w:rFonts w:hint="default" w:ascii="宋体" w:hAnsi="宋体"/>
                <w:szCs w:val="21"/>
              </w:rPr>
              <w:t>数量</w:t>
            </w:r>
          </w:p>
        </w:tc>
        <w:tc>
          <w:tcPr>
            <w:tcW w:w="3367" w:type="pct"/>
            <w:vAlign w:val="center"/>
          </w:tcPr>
          <w:p w14:paraId="37B6F34D">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szCs w:val="21"/>
              </w:rPr>
            </w:pPr>
            <w:r>
              <w:rPr>
                <w:rFonts w:hint="default" w:ascii="宋体" w:hAnsi="宋体"/>
                <w:szCs w:val="21"/>
              </w:rPr>
              <w:t>资 格 要 求</w:t>
            </w:r>
          </w:p>
        </w:tc>
      </w:tr>
      <w:tr w14:paraId="561D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8" w:hRule="atLeast"/>
          <w:jc w:val="center"/>
        </w:trPr>
        <w:tc>
          <w:tcPr>
            <w:tcW w:w="1183" w:type="pct"/>
            <w:vAlign w:val="center"/>
          </w:tcPr>
          <w:p w14:paraId="62E65246">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项目总监</w:t>
            </w:r>
          </w:p>
        </w:tc>
        <w:tc>
          <w:tcPr>
            <w:tcW w:w="448" w:type="pct"/>
            <w:vAlign w:val="center"/>
          </w:tcPr>
          <w:p w14:paraId="39450447">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szCs w:val="21"/>
                <w:highlight w:val="none"/>
                <w:lang w:eastAsia="zh"/>
              </w:rPr>
            </w:pPr>
            <w:r>
              <w:rPr>
                <w:rFonts w:hint="eastAsia" w:ascii="宋体" w:hAnsi="宋体"/>
                <w:szCs w:val="21"/>
                <w:highlight w:val="none"/>
                <w:lang w:eastAsia="zh"/>
              </w:rPr>
              <w:t>1</w:t>
            </w:r>
          </w:p>
        </w:tc>
        <w:tc>
          <w:tcPr>
            <w:tcW w:w="3367" w:type="pct"/>
            <w:vAlign w:val="center"/>
          </w:tcPr>
          <w:p w14:paraId="74DD29B3">
            <w:pPr>
              <w:pStyle w:val="7"/>
              <w:keepNext w:val="0"/>
              <w:keepLines w:val="0"/>
              <w:pageBreakBefore w:val="0"/>
              <w:widowControl w:val="0"/>
              <w:suppressLineNumbers w:val="0"/>
              <w:kinsoku/>
              <w:wordWrap/>
              <w:overflowPunct/>
              <w:topLinePunct w:val="0"/>
              <w:autoSpaceDE/>
              <w:autoSpaceDN/>
              <w:bidi w:val="0"/>
              <w:spacing w:before="0" w:beforeAutospacing="0" w:afterAutospacing="0" w:line="360" w:lineRule="exact"/>
              <w:ind w:left="0" w:leftChars="0" w:right="0" w:firstLine="0" w:firstLineChars="0"/>
              <w:textAlignment w:val="auto"/>
              <w:rPr>
                <w:rFonts w:hint="eastAsia" w:eastAsia="宋体"/>
                <w:b/>
                <w:bCs/>
                <w:highlight w:val="none"/>
                <w:lang w:eastAsia="zh-CN"/>
              </w:rPr>
            </w:pPr>
            <w:r>
              <w:rPr>
                <w:rFonts w:hint="eastAsia" w:ascii="宋体" w:hAnsi="宋体"/>
                <w:color w:val="000000"/>
                <w:szCs w:val="21"/>
                <w:highlight w:val="none"/>
                <w:lang w:val="en-US" w:eastAsia="zh-CN"/>
              </w:rPr>
              <w:t>研究生学历</w:t>
            </w:r>
            <w:r>
              <w:rPr>
                <w:rFonts w:hint="eastAsia" w:ascii="宋体" w:hAnsi="宋体"/>
                <w:color w:val="000000"/>
                <w:szCs w:val="21"/>
                <w:highlight w:val="none"/>
              </w:rPr>
              <w:t>，近 5 年</w:t>
            </w:r>
            <w:r>
              <w:rPr>
                <w:rFonts w:hint="eastAsia" w:ascii="宋体" w:hAnsi="宋体"/>
                <w:color w:val="000000"/>
                <w:szCs w:val="21"/>
                <w:highlight w:val="none"/>
                <w:lang w:eastAsia="zh-CN"/>
              </w:rPr>
              <w:t>（2019年12月1日</w:t>
            </w:r>
            <w:r>
              <w:rPr>
                <w:rFonts w:hint="eastAsia" w:ascii="宋体" w:hAnsi="宋体"/>
                <w:color w:val="000000"/>
                <w:szCs w:val="21"/>
                <w:highlight w:val="none"/>
              </w:rPr>
              <w:t>至今</w:t>
            </w:r>
            <w:r>
              <w:rPr>
                <w:rFonts w:hint="eastAsia" w:ascii="宋体" w:hAnsi="宋体"/>
                <w:color w:val="000000"/>
                <w:szCs w:val="21"/>
                <w:highlight w:val="none"/>
                <w:lang w:eastAsia="zh-CN"/>
              </w:rPr>
              <w:t>，</w:t>
            </w:r>
            <w:r>
              <w:rPr>
                <w:rFonts w:hint="eastAsia" w:ascii="宋体" w:hAnsi="宋体"/>
                <w:color w:val="000000"/>
                <w:szCs w:val="21"/>
                <w:highlight w:val="none"/>
              </w:rPr>
              <w:t>以合同签订时间为准），作为</w:t>
            </w:r>
            <w:r>
              <w:rPr>
                <w:rFonts w:hint="eastAsia" w:ascii="宋体" w:hAnsi="宋体"/>
                <w:color w:val="000000"/>
                <w:szCs w:val="21"/>
                <w:highlight w:val="none"/>
                <w:lang w:val="en-US" w:eastAsia="zh-CN"/>
              </w:rPr>
              <w:t>项目总监或项目负责人</w:t>
            </w:r>
            <w:r>
              <w:rPr>
                <w:rFonts w:hint="eastAsia" w:ascii="宋体" w:hAnsi="宋体"/>
                <w:color w:val="000000"/>
                <w:szCs w:val="21"/>
                <w:highlight w:val="none"/>
              </w:rPr>
              <w:t>主持过</w:t>
            </w:r>
            <w:r>
              <w:rPr>
                <w:rFonts w:hint="eastAsia" w:ascii="宋体" w:hAnsi="宋体"/>
                <w:color w:val="000000"/>
                <w:szCs w:val="21"/>
                <w:highlight w:val="none"/>
                <w:lang w:val="en-US" w:eastAsia="zh-CN"/>
              </w:rPr>
              <w:t>1项交通运输类公路行业企业五年或中长期战略规划编制咨询业绩。</w:t>
            </w:r>
          </w:p>
        </w:tc>
      </w:tr>
      <w:tr w14:paraId="40FF6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1183" w:type="pct"/>
            <w:vAlign w:val="center"/>
          </w:tcPr>
          <w:p w14:paraId="150DC359">
            <w:pPr>
              <w:keepNext w:val="0"/>
              <w:keepLines w:val="0"/>
              <w:suppressLineNumbers w:val="0"/>
              <w:tabs>
                <w:tab w:val="left" w:pos="504"/>
              </w:tabs>
              <w:adjustRightInd w:val="0"/>
              <w:snapToGrid w:val="0"/>
              <w:spacing w:before="0" w:beforeAutospacing="0" w:after="0" w:afterAutospacing="0" w:line="360" w:lineRule="exact"/>
              <w:ind w:left="0" w:right="0"/>
              <w:jc w:val="center"/>
              <w:rPr>
                <w:rFonts w:hint="eastAsia" w:ascii="宋体" w:hAnsi="宋体"/>
                <w:szCs w:val="21"/>
                <w:highlight w:val="none"/>
                <w:lang w:eastAsia="zh-CN"/>
              </w:rPr>
            </w:pPr>
            <w:r>
              <w:rPr>
                <w:rFonts w:hint="eastAsia" w:ascii="宋体" w:hAnsi="宋体"/>
                <w:szCs w:val="21"/>
                <w:highlight w:val="none"/>
                <w:lang w:eastAsia="zh-CN"/>
              </w:rPr>
              <w:t>项目负责人</w:t>
            </w:r>
          </w:p>
          <w:p w14:paraId="1A9057DA">
            <w:pPr>
              <w:keepNext w:val="0"/>
              <w:keepLines w:val="0"/>
              <w:suppressLineNumbers w:val="0"/>
              <w:tabs>
                <w:tab w:val="left" w:pos="419"/>
              </w:tabs>
              <w:adjustRightInd w:val="0"/>
              <w:snapToGrid w:val="0"/>
              <w:spacing w:before="0" w:beforeAutospacing="0" w:after="0" w:afterAutospacing="0" w:line="360" w:lineRule="exact"/>
              <w:ind w:left="0" w:right="0"/>
              <w:jc w:val="center"/>
              <w:rPr>
                <w:rFonts w:hint="eastAsia" w:ascii="宋体" w:hAnsi="宋体"/>
                <w:szCs w:val="21"/>
                <w:highlight w:val="none"/>
                <w:lang w:val="en-US" w:eastAsia="zh-CN"/>
              </w:rPr>
            </w:pPr>
          </w:p>
        </w:tc>
        <w:tc>
          <w:tcPr>
            <w:tcW w:w="448" w:type="pct"/>
            <w:vAlign w:val="center"/>
          </w:tcPr>
          <w:p w14:paraId="3A8778D0">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1</w:t>
            </w:r>
          </w:p>
        </w:tc>
        <w:tc>
          <w:tcPr>
            <w:tcW w:w="3367" w:type="pct"/>
            <w:vAlign w:val="center"/>
          </w:tcPr>
          <w:p w14:paraId="2F648A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宋体" w:hAnsi="宋体"/>
                <w:color w:val="000000"/>
                <w:szCs w:val="21"/>
                <w:highlight w:val="none"/>
              </w:rPr>
            </w:pPr>
            <w:r>
              <w:rPr>
                <w:rFonts w:hint="eastAsia" w:ascii="宋体" w:hAnsi="宋体"/>
                <w:color w:val="000000"/>
                <w:szCs w:val="21"/>
                <w:highlight w:val="none"/>
                <w:lang w:eastAsia="zh-CN"/>
              </w:rPr>
              <w:t>研究生学历</w:t>
            </w:r>
            <w:r>
              <w:rPr>
                <w:rFonts w:hint="eastAsia" w:ascii="宋体" w:hAnsi="宋体"/>
                <w:color w:val="000000"/>
                <w:szCs w:val="21"/>
                <w:highlight w:val="none"/>
              </w:rPr>
              <w:t>，近 5 年</w:t>
            </w:r>
            <w:r>
              <w:rPr>
                <w:rFonts w:hint="eastAsia" w:ascii="宋体" w:hAnsi="宋体"/>
                <w:color w:val="000000"/>
                <w:szCs w:val="21"/>
                <w:highlight w:val="none"/>
                <w:lang w:eastAsia="zh-CN"/>
              </w:rPr>
              <w:t>（</w:t>
            </w:r>
            <w:r>
              <w:rPr>
                <w:rFonts w:hint="eastAsia" w:ascii="宋体" w:hAnsi="宋体"/>
                <w:color w:val="000000"/>
                <w:szCs w:val="21"/>
                <w:highlight w:val="none"/>
                <w:lang w:eastAsia="zh"/>
              </w:rPr>
              <w:t>2019年</w:t>
            </w:r>
            <w:r>
              <w:rPr>
                <w:rFonts w:hint="eastAsia" w:ascii="宋体" w:hAnsi="宋体"/>
                <w:color w:val="000000"/>
                <w:szCs w:val="21"/>
                <w:highlight w:val="none"/>
                <w:lang w:eastAsia="zh-CN"/>
              </w:rPr>
              <w:t>12月1日</w:t>
            </w:r>
            <w:r>
              <w:rPr>
                <w:rFonts w:hint="default" w:ascii="宋体" w:hAnsi="宋体"/>
                <w:color w:val="000000"/>
                <w:szCs w:val="21"/>
                <w:highlight w:val="none"/>
              </w:rPr>
              <w:t>至今</w:t>
            </w:r>
            <w:r>
              <w:rPr>
                <w:rFonts w:hint="eastAsia" w:ascii="宋体" w:hAnsi="宋体"/>
                <w:color w:val="000000"/>
                <w:szCs w:val="21"/>
                <w:highlight w:val="none"/>
                <w:lang w:eastAsia="zh-CN"/>
              </w:rPr>
              <w:t>，</w:t>
            </w:r>
            <w:r>
              <w:rPr>
                <w:rFonts w:hint="eastAsia" w:ascii="宋体" w:hAnsi="宋体"/>
                <w:color w:val="000000"/>
                <w:szCs w:val="21"/>
                <w:highlight w:val="none"/>
              </w:rPr>
              <w:t>以合同签订时间为准），作为</w:t>
            </w:r>
            <w:r>
              <w:rPr>
                <w:rFonts w:hint="eastAsia" w:ascii="宋体" w:hAnsi="宋体"/>
                <w:color w:val="000000"/>
                <w:szCs w:val="21"/>
                <w:highlight w:val="none"/>
                <w:lang w:eastAsia="zh-CN"/>
              </w:rPr>
              <w:t>项目负责人</w:t>
            </w:r>
            <w:r>
              <w:rPr>
                <w:rFonts w:hint="eastAsia" w:ascii="宋体" w:hAnsi="宋体"/>
                <w:color w:val="000000"/>
                <w:szCs w:val="21"/>
                <w:highlight w:val="none"/>
              </w:rPr>
              <w:t>主持过</w:t>
            </w:r>
            <w:r>
              <w:rPr>
                <w:rFonts w:hint="eastAsia" w:ascii="宋体" w:hAnsi="宋体"/>
                <w:color w:val="000000"/>
                <w:szCs w:val="21"/>
                <w:highlight w:val="none"/>
                <w:lang w:val="en-US" w:eastAsia="zh-CN"/>
              </w:rPr>
              <w:t>1项交通运输类公路行业企业五年或中长期战略规划编制咨询业绩。</w:t>
            </w:r>
          </w:p>
        </w:tc>
      </w:tr>
      <w:tr w14:paraId="690B4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jc w:val="center"/>
        </w:trPr>
        <w:tc>
          <w:tcPr>
            <w:tcW w:w="1183" w:type="pct"/>
            <w:vMerge w:val="restart"/>
            <w:vAlign w:val="center"/>
          </w:tcPr>
          <w:p w14:paraId="6654D1E8">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szCs w:val="21"/>
                <w:highlight w:val="none"/>
                <w:lang w:val="en-US" w:eastAsia="zh"/>
              </w:rPr>
            </w:pPr>
            <w:r>
              <w:rPr>
                <w:rFonts w:hint="eastAsia" w:ascii="宋体" w:hAnsi="宋体"/>
                <w:szCs w:val="21"/>
                <w:highlight w:val="none"/>
                <w:lang w:val="en-US" w:eastAsia="zh"/>
              </w:rPr>
              <w:t>项目组成员</w:t>
            </w:r>
          </w:p>
        </w:tc>
        <w:tc>
          <w:tcPr>
            <w:tcW w:w="448" w:type="pct"/>
            <w:vMerge w:val="restart"/>
            <w:vAlign w:val="center"/>
          </w:tcPr>
          <w:p w14:paraId="62D4BB69">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szCs w:val="21"/>
                <w:highlight w:val="none"/>
                <w:lang w:eastAsia="zh"/>
              </w:rPr>
            </w:pPr>
            <w:r>
              <w:rPr>
                <w:rFonts w:hint="eastAsia" w:ascii="宋体" w:hAnsi="宋体"/>
                <w:szCs w:val="21"/>
                <w:highlight w:val="none"/>
                <w:lang w:eastAsia="zh"/>
              </w:rPr>
              <w:t>4</w:t>
            </w:r>
          </w:p>
        </w:tc>
        <w:tc>
          <w:tcPr>
            <w:tcW w:w="3367" w:type="pct"/>
            <w:vAlign w:val="center"/>
          </w:tcPr>
          <w:p w14:paraId="59762645">
            <w:pPr>
              <w:keepNext w:val="0"/>
              <w:keepLines w:val="0"/>
              <w:suppressLineNumbers w:val="0"/>
              <w:snapToGrid w:val="0"/>
              <w:spacing w:before="0" w:beforeAutospacing="0" w:after="0" w:afterAutospacing="0" w:line="360" w:lineRule="exact"/>
              <w:ind w:left="0" w:right="0"/>
              <w:jc w:val="left"/>
              <w:rPr>
                <w:rFonts w:hint="eastAsia" w:ascii="宋体" w:hAnsi="宋体" w:eastAsia="宋体"/>
                <w:color w:val="FF0000"/>
                <w:szCs w:val="21"/>
                <w:highlight w:val="none"/>
                <w:lang w:eastAsia="zh"/>
              </w:rPr>
            </w:pPr>
            <w:r>
              <w:rPr>
                <w:rFonts w:hint="eastAsia" w:ascii="宋体" w:hAnsi="宋体"/>
                <w:color w:val="auto"/>
                <w:szCs w:val="21"/>
                <w:highlight w:val="none"/>
                <w:lang w:eastAsia="zh-CN"/>
              </w:rPr>
              <w:t>研究生学历</w:t>
            </w:r>
            <w:r>
              <w:rPr>
                <w:rFonts w:hint="eastAsia" w:ascii="宋体" w:hAnsi="宋体"/>
                <w:color w:val="auto"/>
                <w:szCs w:val="21"/>
                <w:highlight w:val="none"/>
              </w:rPr>
              <w:t>，近 5 年</w:t>
            </w:r>
            <w:r>
              <w:rPr>
                <w:rFonts w:hint="eastAsia" w:ascii="宋体" w:hAnsi="宋体"/>
                <w:color w:val="auto"/>
                <w:szCs w:val="21"/>
                <w:highlight w:val="none"/>
                <w:lang w:eastAsia="zh-CN"/>
              </w:rPr>
              <w:t>（</w:t>
            </w:r>
            <w:r>
              <w:rPr>
                <w:rFonts w:hint="eastAsia" w:ascii="宋体" w:hAnsi="宋体"/>
                <w:color w:val="auto"/>
                <w:szCs w:val="21"/>
                <w:highlight w:val="none"/>
                <w:lang w:eastAsia="zh"/>
              </w:rPr>
              <w:t>2019年</w:t>
            </w:r>
            <w:r>
              <w:rPr>
                <w:rFonts w:hint="eastAsia" w:ascii="宋体" w:hAnsi="宋体"/>
                <w:color w:val="auto"/>
                <w:szCs w:val="21"/>
                <w:highlight w:val="none"/>
                <w:lang w:eastAsia="zh-CN"/>
              </w:rPr>
              <w:t>12月1日</w:t>
            </w:r>
            <w:r>
              <w:rPr>
                <w:rFonts w:hint="default" w:ascii="宋体" w:hAnsi="宋体"/>
                <w:color w:val="auto"/>
                <w:szCs w:val="21"/>
                <w:highlight w:val="none"/>
              </w:rPr>
              <w:t>至今</w:t>
            </w:r>
            <w:r>
              <w:rPr>
                <w:rFonts w:hint="eastAsia" w:ascii="宋体" w:hAnsi="宋体"/>
                <w:color w:val="auto"/>
                <w:szCs w:val="21"/>
                <w:highlight w:val="none"/>
                <w:lang w:eastAsia="zh-CN"/>
              </w:rPr>
              <w:t>，</w:t>
            </w:r>
            <w:r>
              <w:rPr>
                <w:rFonts w:hint="eastAsia" w:ascii="宋体" w:hAnsi="宋体"/>
                <w:color w:val="auto"/>
                <w:szCs w:val="21"/>
                <w:highlight w:val="none"/>
              </w:rPr>
              <w:t>以合同签订时间为准），</w:t>
            </w:r>
            <w:r>
              <w:rPr>
                <w:rFonts w:hint="eastAsia" w:ascii="宋体" w:hAnsi="宋体"/>
                <w:color w:val="auto"/>
                <w:szCs w:val="21"/>
                <w:highlight w:val="none"/>
                <w:lang w:val="en-US" w:eastAsia="zh-CN"/>
              </w:rPr>
              <w:t>项目组每位成员须</w:t>
            </w:r>
            <w:r>
              <w:rPr>
                <w:rFonts w:hint="eastAsia" w:ascii="宋体" w:hAnsi="宋体"/>
                <w:color w:val="auto"/>
                <w:szCs w:val="21"/>
                <w:highlight w:val="none"/>
                <w:lang w:val="en-US" w:eastAsia="zh"/>
              </w:rPr>
              <w:t>满足</w:t>
            </w:r>
            <w:r>
              <w:rPr>
                <w:rFonts w:hint="eastAsia" w:ascii="宋体" w:hAnsi="宋体"/>
                <w:color w:val="auto"/>
                <w:szCs w:val="21"/>
                <w:highlight w:val="none"/>
                <w:lang w:val="en-US" w:eastAsia="zh-CN"/>
              </w:rPr>
              <w:t>下列至少一项</w:t>
            </w:r>
            <w:r>
              <w:rPr>
                <w:rFonts w:hint="eastAsia" w:ascii="宋体" w:hAnsi="宋体"/>
                <w:color w:val="auto"/>
                <w:szCs w:val="21"/>
                <w:highlight w:val="none"/>
                <w:lang w:val="en-US" w:eastAsia="zh"/>
              </w:rPr>
              <w:t>业绩</w:t>
            </w:r>
            <w:r>
              <w:rPr>
                <w:rFonts w:hint="eastAsia" w:ascii="宋体" w:hAnsi="宋体"/>
                <w:color w:val="auto"/>
                <w:szCs w:val="21"/>
                <w:highlight w:val="none"/>
                <w:lang w:val="en-US" w:eastAsia="zh-CN"/>
              </w:rPr>
              <w:t>。</w:t>
            </w:r>
          </w:p>
        </w:tc>
      </w:tr>
      <w:tr w14:paraId="7A97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183" w:type="pct"/>
            <w:vMerge w:val="continue"/>
            <w:vAlign w:val="center"/>
          </w:tcPr>
          <w:p w14:paraId="5C5E537C">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szCs w:val="21"/>
                <w:highlight w:val="none"/>
                <w:lang w:val="en-US" w:eastAsia="zh"/>
              </w:rPr>
            </w:pPr>
          </w:p>
        </w:tc>
        <w:tc>
          <w:tcPr>
            <w:tcW w:w="448" w:type="pct"/>
            <w:vMerge w:val="continue"/>
            <w:vAlign w:val="center"/>
          </w:tcPr>
          <w:p w14:paraId="3253BB98">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szCs w:val="21"/>
                <w:highlight w:val="none"/>
                <w:lang w:val="en-US" w:eastAsia="zh-CN"/>
              </w:rPr>
            </w:pPr>
          </w:p>
        </w:tc>
        <w:tc>
          <w:tcPr>
            <w:tcW w:w="3367" w:type="pct"/>
            <w:vAlign w:val="center"/>
          </w:tcPr>
          <w:p w14:paraId="0194DB42">
            <w:pPr>
              <w:keepNext w:val="0"/>
              <w:keepLines w:val="0"/>
              <w:suppressLineNumbers w:val="0"/>
              <w:snapToGrid w:val="0"/>
              <w:spacing w:before="0" w:beforeAutospacing="0" w:after="0" w:afterAutospacing="0" w:line="360" w:lineRule="exact"/>
              <w:ind w:left="0" w:right="0"/>
              <w:jc w:val="left"/>
              <w:rPr>
                <w:rFonts w:hint="default" w:ascii="宋体" w:hAnsi="宋体"/>
                <w:color w:val="000000"/>
                <w:szCs w:val="21"/>
                <w:highlight w:val="none"/>
                <w:lang w:val="en-US"/>
              </w:rPr>
            </w:pPr>
            <w:r>
              <w:rPr>
                <w:rFonts w:hint="eastAsia" w:ascii="宋体" w:hAnsi="宋体"/>
                <w:color w:val="000000"/>
                <w:szCs w:val="21"/>
                <w:highlight w:val="none"/>
                <w:lang w:val="en-US" w:eastAsia="zh-CN"/>
              </w:rPr>
              <w:t>1项交通运输类公路行业企业五年或中长期战略规划编制咨询业绩。</w:t>
            </w:r>
          </w:p>
        </w:tc>
      </w:tr>
      <w:tr w14:paraId="0AE9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1183" w:type="pct"/>
            <w:vMerge w:val="continue"/>
            <w:vAlign w:val="center"/>
          </w:tcPr>
          <w:p w14:paraId="28A65AF7">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szCs w:val="21"/>
                <w:highlight w:val="none"/>
                <w:lang w:val="en-US" w:eastAsia="zh"/>
              </w:rPr>
            </w:pPr>
          </w:p>
        </w:tc>
        <w:tc>
          <w:tcPr>
            <w:tcW w:w="448" w:type="pct"/>
            <w:vMerge w:val="continue"/>
            <w:vAlign w:val="center"/>
          </w:tcPr>
          <w:p w14:paraId="1B224B4E">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szCs w:val="21"/>
                <w:highlight w:val="none"/>
                <w:lang w:val="en-US" w:eastAsia="zh-CN"/>
              </w:rPr>
            </w:pPr>
          </w:p>
        </w:tc>
        <w:tc>
          <w:tcPr>
            <w:tcW w:w="3367" w:type="pct"/>
            <w:vAlign w:val="center"/>
          </w:tcPr>
          <w:p w14:paraId="31D5AC1D">
            <w:pPr>
              <w:keepNext w:val="0"/>
              <w:keepLines w:val="0"/>
              <w:suppressLineNumbers w:val="0"/>
              <w:snapToGrid w:val="0"/>
              <w:spacing w:before="0" w:beforeAutospacing="0" w:after="0" w:afterAutospacing="0" w:line="360" w:lineRule="exact"/>
              <w:ind w:left="0" w:right="0"/>
              <w:jc w:val="left"/>
              <w:rPr>
                <w:rFonts w:hint="eastAsia" w:ascii="宋体" w:hAnsi="宋体"/>
                <w:color w:val="000000"/>
                <w:szCs w:val="21"/>
                <w:highlight w:val="none"/>
              </w:rPr>
            </w:pPr>
            <w:r>
              <w:rPr>
                <w:rFonts w:hint="eastAsia" w:ascii="宋体" w:hAnsi="宋体"/>
                <w:color w:val="000000"/>
                <w:szCs w:val="21"/>
                <w:highlight w:val="none"/>
              </w:rPr>
              <w:t>1</w:t>
            </w:r>
            <w:r>
              <w:rPr>
                <w:rFonts w:hint="eastAsia" w:ascii="宋体" w:hAnsi="宋体"/>
                <w:color w:val="000000"/>
                <w:szCs w:val="21"/>
                <w:highlight w:val="none"/>
                <w:lang w:val="en-US" w:eastAsia="zh-CN"/>
              </w:rPr>
              <w:t>项</w:t>
            </w:r>
            <w:r>
              <w:rPr>
                <w:rFonts w:hint="eastAsia" w:ascii="宋体" w:hAnsi="宋体"/>
                <w:color w:val="000000"/>
                <w:szCs w:val="21"/>
                <w:highlight w:val="none"/>
                <w:lang w:eastAsia="zh-CN"/>
              </w:rPr>
              <w:t>科技创新</w:t>
            </w:r>
            <w:r>
              <w:rPr>
                <w:rFonts w:hint="eastAsia" w:ascii="宋体" w:hAnsi="宋体"/>
                <w:color w:val="000000"/>
                <w:szCs w:val="21"/>
                <w:highlight w:val="none"/>
                <w:lang w:eastAsia="zh"/>
              </w:rPr>
              <w:t>规划</w:t>
            </w:r>
            <w:r>
              <w:rPr>
                <w:rFonts w:hint="eastAsia" w:ascii="宋体" w:hAnsi="宋体"/>
                <w:color w:val="000000"/>
                <w:szCs w:val="21"/>
                <w:highlight w:val="none"/>
                <w:lang w:val="en-US" w:eastAsia="zh-CN"/>
              </w:rPr>
              <w:t>编制</w:t>
            </w:r>
            <w:r>
              <w:rPr>
                <w:rFonts w:hint="eastAsia" w:ascii="宋体" w:hAnsi="宋体"/>
                <w:color w:val="000000"/>
                <w:szCs w:val="21"/>
                <w:highlight w:val="none"/>
              </w:rPr>
              <w:t>咨询</w:t>
            </w:r>
            <w:r>
              <w:rPr>
                <w:rFonts w:hint="eastAsia" w:ascii="宋体" w:hAnsi="宋体"/>
                <w:color w:val="000000"/>
                <w:szCs w:val="21"/>
                <w:highlight w:val="none"/>
                <w:lang w:val="en-US" w:eastAsia="zh-CN"/>
              </w:rPr>
              <w:t>业绩。</w:t>
            </w:r>
          </w:p>
        </w:tc>
      </w:tr>
      <w:tr w14:paraId="5C152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183" w:type="pct"/>
            <w:vMerge w:val="continue"/>
            <w:vAlign w:val="center"/>
          </w:tcPr>
          <w:p w14:paraId="1B45900E">
            <w:pPr>
              <w:keepNext w:val="0"/>
              <w:keepLines w:val="0"/>
              <w:suppressLineNumbers w:val="0"/>
              <w:snapToGrid w:val="0"/>
              <w:spacing w:before="0" w:beforeAutospacing="0" w:after="0" w:afterAutospacing="0" w:line="360" w:lineRule="exact"/>
              <w:ind w:left="0" w:right="0"/>
              <w:jc w:val="left"/>
              <w:rPr>
                <w:rFonts w:hint="default"/>
                <w:highlight w:val="none"/>
              </w:rPr>
            </w:pPr>
          </w:p>
        </w:tc>
        <w:tc>
          <w:tcPr>
            <w:tcW w:w="448" w:type="pct"/>
            <w:vMerge w:val="continue"/>
            <w:vAlign w:val="center"/>
          </w:tcPr>
          <w:p w14:paraId="4EC8E99C">
            <w:pPr>
              <w:keepNext w:val="0"/>
              <w:keepLines w:val="0"/>
              <w:suppressLineNumbers w:val="0"/>
              <w:snapToGrid w:val="0"/>
              <w:spacing w:before="0" w:beforeAutospacing="0" w:after="0" w:afterAutospacing="0" w:line="360" w:lineRule="exact"/>
              <w:ind w:left="0" w:right="0"/>
              <w:jc w:val="left"/>
              <w:rPr>
                <w:rFonts w:hint="default"/>
                <w:highlight w:val="none"/>
              </w:rPr>
            </w:pPr>
          </w:p>
        </w:tc>
        <w:tc>
          <w:tcPr>
            <w:tcW w:w="3367" w:type="pct"/>
            <w:vAlign w:val="center"/>
          </w:tcPr>
          <w:p w14:paraId="32989D92">
            <w:pPr>
              <w:keepNext w:val="0"/>
              <w:keepLines w:val="0"/>
              <w:suppressLineNumbers w:val="0"/>
              <w:snapToGrid w:val="0"/>
              <w:spacing w:before="0" w:beforeAutospacing="0" w:after="0" w:afterAutospacing="0" w:line="360" w:lineRule="exact"/>
              <w:ind w:left="0" w:right="0"/>
              <w:jc w:val="left"/>
              <w:rPr>
                <w:rFonts w:hint="eastAsia" w:ascii="宋体" w:hAnsi="宋体"/>
                <w:color w:val="000000"/>
                <w:szCs w:val="21"/>
                <w:highlight w:val="none"/>
                <w:lang w:eastAsia="zh"/>
              </w:rPr>
            </w:pPr>
            <w:r>
              <w:rPr>
                <w:rFonts w:hint="eastAsia" w:ascii="宋体" w:hAnsi="宋体"/>
                <w:color w:val="000000"/>
                <w:szCs w:val="21"/>
                <w:highlight w:val="none"/>
                <w:lang w:eastAsia="zh"/>
              </w:rPr>
              <w:t>1</w:t>
            </w:r>
            <w:r>
              <w:rPr>
                <w:rFonts w:hint="eastAsia" w:ascii="宋体" w:hAnsi="宋体"/>
                <w:color w:val="000000"/>
                <w:szCs w:val="21"/>
                <w:highlight w:val="none"/>
                <w:lang w:val="en-US" w:eastAsia="zh-CN"/>
              </w:rPr>
              <w:t>项</w:t>
            </w:r>
            <w:r>
              <w:rPr>
                <w:rFonts w:hint="eastAsia" w:ascii="宋体" w:hAnsi="宋体"/>
                <w:color w:val="000000"/>
                <w:szCs w:val="21"/>
                <w:highlight w:val="none"/>
                <w:lang w:eastAsia="zh"/>
              </w:rPr>
              <w:t>金融发展规划或方案编制</w:t>
            </w:r>
            <w:r>
              <w:rPr>
                <w:rFonts w:hint="eastAsia" w:ascii="宋体" w:hAnsi="宋体"/>
                <w:color w:val="auto"/>
                <w:szCs w:val="21"/>
                <w:highlight w:val="none"/>
              </w:rPr>
              <w:t>咨询</w:t>
            </w:r>
            <w:r>
              <w:rPr>
                <w:rFonts w:hint="eastAsia" w:ascii="宋体" w:hAnsi="宋体"/>
                <w:color w:val="000000"/>
                <w:szCs w:val="21"/>
                <w:highlight w:val="none"/>
                <w:lang w:val="en-US" w:eastAsia="zh-CN"/>
              </w:rPr>
              <w:t>业绩</w:t>
            </w:r>
            <w:r>
              <w:rPr>
                <w:rFonts w:hint="eastAsia" w:ascii="宋体" w:hAnsi="宋体"/>
                <w:color w:val="000000"/>
                <w:szCs w:val="21"/>
                <w:highlight w:val="none"/>
                <w:lang w:eastAsia="zh"/>
              </w:rPr>
              <w:t>。</w:t>
            </w:r>
          </w:p>
        </w:tc>
      </w:tr>
    </w:tbl>
    <w:p w14:paraId="7BBCA872">
      <w:pPr>
        <w:snapToGrid w:val="0"/>
        <w:spacing w:line="360" w:lineRule="auto"/>
        <w:ind w:firstLine="448" w:firstLineChars="200"/>
        <w:rPr>
          <w:rFonts w:ascii="黑体" w:eastAsia="黑体"/>
          <w:spacing w:val="-8"/>
          <w:sz w:val="24"/>
          <w:szCs w:val="24"/>
          <w:highlight w:val="yellow"/>
        </w:rPr>
      </w:pPr>
    </w:p>
    <w:p w14:paraId="020B7975">
      <w:r>
        <w:br w:type="page"/>
      </w:r>
    </w:p>
    <w:p w14:paraId="37FC7E3E">
      <w:pPr>
        <w:pStyle w:val="4"/>
        <w:snapToGrid w:val="0"/>
        <w:spacing w:before="158" w:beforeLines="50" w:after="158" w:afterLines="50" w:line="240" w:lineRule="auto"/>
        <w:rPr>
          <w:rFonts w:hint="eastAsia" w:ascii="宋体" w:hAnsi="宋体"/>
          <w:sz w:val="24"/>
          <w:szCs w:val="24"/>
        </w:rPr>
      </w:pPr>
      <w:bookmarkStart w:id="7" w:name="_Toc172796497"/>
      <w:bookmarkStart w:id="8" w:name="_Toc14361"/>
      <w:bookmarkStart w:id="9" w:name="_Toc171573455"/>
      <w:r>
        <w:rPr>
          <w:rFonts w:hint="eastAsia" w:ascii="宋体" w:hAnsi="宋体"/>
          <w:sz w:val="24"/>
          <w:szCs w:val="24"/>
        </w:rPr>
        <w:t>附件2：评标办法</w:t>
      </w:r>
      <w:bookmarkEnd w:id="3"/>
      <w:bookmarkEnd w:id="4"/>
      <w:bookmarkEnd w:id="5"/>
      <w:bookmarkEnd w:id="6"/>
      <w:bookmarkEnd w:id="7"/>
      <w:bookmarkEnd w:id="8"/>
      <w:bookmarkEnd w:id="9"/>
    </w:p>
    <w:p w14:paraId="7CA6204B">
      <w:pPr>
        <w:pStyle w:val="4"/>
        <w:snapToGrid w:val="0"/>
        <w:spacing w:before="120" w:after="120" w:line="240" w:lineRule="auto"/>
        <w:jc w:val="center"/>
        <w:rPr>
          <w:sz w:val="24"/>
          <w:szCs w:val="24"/>
        </w:rPr>
      </w:pPr>
      <w:bookmarkStart w:id="10" w:name="_Toc10623"/>
      <w:bookmarkStart w:id="11" w:name="_Toc21839"/>
      <w:bookmarkStart w:id="12" w:name="_Toc171919756"/>
      <w:bookmarkStart w:id="13" w:name="_Toc172796498"/>
      <w:bookmarkStart w:id="14" w:name="_Toc65857110"/>
      <w:bookmarkStart w:id="15" w:name="_Toc171120326"/>
      <w:bookmarkStart w:id="16" w:name="_Toc65820978"/>
      <w:bookmarkStart w:id="17" w:name="_Toc171491580"/>
      <w:bookmarkStart w:id="18" w:name="_Toc141780408"/>
      <w:bookmarkStart w:id="19" w:name="_Toc66337244"/>
      <w:bookmarkStart w:id="20" w:name="_Toc145426380"/>
      <w:bookmarkStart w:id="21" w:name="_Toc146031775"/>
      <w:bookmarkStart w:id="22" w:name="_Toc66984522"/>
      <w:bookmarkStart w:id="23" w:name="_Toc171573456"/>
      <w:bookmarkStart w:id="24" w:name="_Toc169637959"/>
      <w:bookmarkStart w:id="25" w:name="_Toc138793770"/>
      <w:r>
        <w:rPr>
          <w:rFonts w:hint="eastAsia"/>
          <w:sz w:val="24"/>
          <w:szCs w:val="24"/>
        </w:rPr>
        <w:t>评标办法前附表</w:t>
      </w:r>
      <w:bookmarkEnd w:id="0"/>
      <w:bookmarkEnd w:id="1"/>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Start w:id="26" w:name="_Hlk71130285"/>
      <w:bookmarkStart w:id="27" w:name="_Hlk144505320"/>
    </w:p>
    <w:bookmarkEnd w:id="26"/>
    <w:bookmarkEnd w:id="27"/>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001"/>
        <w:gridCol w:w="6780"/>
      </w:tblGrid>
      <w:tr w14:paraId="2003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017" w:type="pct"/>
            <w:gridSpan w:val="2"/>
            <w:vAlign w:val="center"/>
          </w:tcPr>
          <w:p w14:paraId="012856FB">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条款号</w:t>
            </w:r>
          </w:p>
        </w:tc>
        <w:tc>
          <w:tcPr>
            <w:tcW w:w="3982" w:type="pct"/>
            <w:vAlign w:val="center"/>
          </w:tcPr>
          <w:p w14:paraId="61A4949C">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评审因素与评审标准</w:t>
            </w:r>
          </w:p>
        </w:tc>
      </w:tr>
      <w:tr w14:paraId="6B73B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14:paraId="387BC43C">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1</w:t>
            </w:r>
          </w:p>
        </w:tc>
        <w:tc>
          <w:tcPr>
            <w:tcW w:w="593" w:type="pct"/>
            <w:vAlign w:val="center"/>
          </w:tcPr>
          <w:p w14:paraId="0304A441">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评标方法</w:t>
            </w:r>
          </w:p>
        </w:tc>
        <w:tc>
          <w:tcPr>
            <w:tcW w:w="3982" w:type="pct"/>
            <w:vAlign w:val="center"/>
          </w:tcPr>
          <w:p w14:paraId="7AFE8F2B">
            <w:pPr>
              <w:keepNext w:val="0"/>
              <w:keepLines w:val="0"/>
              <w:suppressLineNumbers w:val="0"/>
              <w:spacing w:before="0" w:beforeAutospacing="0" w:after="0" w:afterAutospacing="0"/>
              <w:ind w:left="0" w:right="0" w:firstLine="315" w:firstLineChars="150"/>
              <w:jc w:val="left"/>
              <w:rPr>
                <w:rFonts w:hint="eastAsia" w:ascii="宋体" w:hAnsi="宋体"/>
              </w:rPr>
            </w:pPr>
            <w:r>
              <w:rPr>
                <w:rFonts w:hint="eastAsia" w:ascii="宋体" w:hAnsi="宋体"/>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14:paraId="2A9309CD">
            <w:pPr>
              <w:keepNext w:val="0"/>
              <w:keepLines w:val="0"/>
              <w:suppressLineNumbers w:val="0"/>
              <w:spacing w:before="0" w:beforeAutospacing="0" w:after="0" w:afterAutospacing="0"/>
              <w:ind w:left="0" w:right="0" w:firstLine="315" w:firstLineChars="150"/>
              <w:jc w:val="left"/>
              <w:rPr>
                <w:rFonts w:hint="eastAsia" w:ascii="宋体" w:hAnsi="宋体"/>
              </w:rPr>
            </w:pPr>
            <w:r>
              <w:rPr>
                <w:rFonts w:hint="eastAsia" w:ascii="宋体" w:hAnsi="宋体"/>
              </w:rPr>
              <w:t>（1）评标价低的投标人优先；</w:t>
            </w:r>
          </w:p>
          <w:p w14:paraId="7DA19F22">
            <w:pPr>
              <w:keepNext w:val="0"/>
              <w:keepLines w:val="0"/>
              <w:suppressLineNumbers w:val="0"/>
              <w:spacing w:before="0" w:beforeAutospacing="0" w:after="0" w:afterAutospacing="0"/>
              <w:ind w:left="0" w:right="0" w:firstLine="315" w:firstLineChars="150"/>
              <w:jc w:val="left"/>
              <w:rPr>
                <w:rFonts w:hint="eastAsia" w:ascii="宋体" w:hAnsi="宋体"/>
              </w:rPr>
            </w:pPr>
            <w:r>
              <w:rPr>
                <w:rFonts w:hint="eastAsia" w:ascii="宋体" w:hAnsi="宋体"/>
              </w:rPr>
              <w:t>（2）技术得分较高的投标人优先；</w:t>
            </w:r>
          </w:p>
          <w:p w14:paraId="24303E21">
            <w:pPr>
              <w:keepNext w:val="0"/>
              <w:keepLines w:val="0"/>
              <w:suppressLineNumbers w:val="0"/>
              <w:spacing w:before="0" w:beforeAutospacing="0" w:after="0" w:afterAutospacing="0"/>
              <w:ind w:left="0" w:right="0" w:firstLine="315" w:firstLineChars="150"/>
              <w:jc w:val="left"/>
              <w:rPr>
                <w:rFonts w:hint="eastAsia" w:ascii="宋体" w:hAnsi="宋体"/>
              </w:rPr>
            </w:pPr>
            <w:r>
              <w:rPr>
                <w:rFonts w:hint="eastAsia" w:ascii="宋体" w:hAnsi="宋体"/>
              </w:rPr>
              <w:t>（3）投标人满足资格审查条件(业绩最低条件)要求的业绩累计金额高的优先。</w:t>
            </w:r>
          </w:p>
        </w:tc>
      </w:tr>
      <w:tr w14:paraId="1A09D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14:paraId="63F6A77B">
            <w:pPr>
              <w:keepNext w:val="0"/>
              <w:keepLines w:val="0"/>
              <w:suppressLineNumbers w:val="0"/>
              <w:spacing w:before="0" w:beforeAutospacing="0" w:after="0" w:afterAutospacing="0"/>
              <w:ind w:left="0" w:right="0"/>
              <w:jc w:val="center"/>
              <w:rPr>
                <w:rFonts w:hint="eastAsia" w:ascii="宋体" w:hAnsi="宋体"/>
              </w:rPr>
            </w:pPr>
            <w:r>
              <w:rPr>
                <w:rFonts w:hint="default" w:ascii="宋体" w:hAnsi="宋体"/>
              </w:rPr>
              <w:t>2.1.1</w:t>
            </w:r>
          </w:p>
          <w:p w14:paraId="5A035444">
            <w:pPr>
              <w:keepNext w:val="0"/>
              <w:keepLines w:val="0"/>
              <w:suppressLineNumbers w:val="0"/>
              <w:spacing w:before="0" w:beforeAutospacing="0" w:after="0" w:afterAutospacing="0"/>
              <w:ind w:left="0" w:right="0"/>
              <w:jc w:val="center"/>
              <w:rPr>
                <w:rFonts w:hint="eastAsia" w:ascii="宋体" w:hAnsi="宋体"/>
              </w:rPr>
            </w:pPr>
            <w:r>
              <w:rPr>
                <w:rFonts w:hint="default" w:ascii="宋体" w:hAnsi="宋体"/>
              </w:rPr>
              <w:t>2.1.3</w:t>
            </w:r>
          </w:p>
        </w:tc>
        <w:tc>
          <w:tcPr>
            <w:tcW w:w="593" w:type="pct"/>
            <w:vAlign w:val="center"/>
          </w:tcPr>
          <w:p w14:paraId="3F4E4109">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形式评审与响应性评审标准</w:t>
            </w:r>
          </w:p>
        </w:tc>
        <w:tc>
          <w:tcPr>
            <w:tcW w:w="3982" w:type="pct"/>
          </w:tcPr>
          <w:p w14:paraId="7ED6F214">
            <w:pPr>
              <w:keepNext w:val="0"/>
              <w:keepLines w:val="0"/>
              <w:suppressLineNumbers w:val="0"/>
              <w:tabs>
                <w:tab w:val="left" w:pos="3060"/>
              </w:tabs>
              <w:spacing w:before="0" w:beforeAutospacing="0" w:after="0" w:afterAutospacing="0" w:line="320" w:lineRule="exact"/>
              <w:ind w:left="0" w:right="0"/>
              <w:rPr>
                <w:rFonts w:hint="eastAsia" w:ascii="宋体" w:hAnsi="宋体" w:eastAsia="宋体"/>
                <w:b/>
                <w:szCs w:val="21"/>
                <w:highlight w:val="none"/>
                <w:lang w:eastAsia="zh-CN"/>
              </w:rPr>
            </w:pPr>
            <w:r>
              <w:rPr>
                <w:rFonts w:hint="eastAsia" w:ascii="宋体" w:hAnsi="宋体"/>
                <w:b/>
                <w:szCs w:val="21"/>
                <w:highlight w:val="none"/>
              </w:rPr>
              <w:t>第一个信封（商务文件）评审标准：</w:t>
            </w:r>
          </w:p>
          <w:p w14:paraId="088983AE">
            <w:pPr>
              <w:keepNext w:val="0"/>
              <w:keepLines w:val="0"/>
              <w:suppressLineNumbers w:val="0"/>
              <w:tabs>
                <w:tab w:val="left" w:pos="3060"/>
              </w:tabs>
              <w:spacing w:before="0" w:beforeAutospacing="0" w:after="0" w:afterAutospacing="0" w:line="320" w:lineRule="exact"/>
              <w:ind w:left="0" w:right="0" w:firstLine="210" w:firstLineChars="100"/>
              <w:rPr>
                <w:rFonts w:hint="eastAsia" w:ascii="宋体" w:hAnsi="宋体"/>
                <w:szCs w:val="21"/>
              </w:rPr>
            </w:pPr>
            <w:r>
              <w:rPr>
                <w:rFonts w:hint="eastAsia" w:ascii="宋体" w:hAnsi="宋体"/>
                <w:szCs w:val="21"/>
              </w:rPr>
              <w:t>（1）投标文件按照招标文件规定的格式、内容填写，字迹清晰可辨：</w:t>
            </w:r>
          </w:p>
          <w:p w14:paraId="6683D187">
            <w:pPr>
              <w:keepNext w:val="0"/>
              <w:keepLines w:val="0"/>
              <w:suppressLineNumbers w:val="0"/>
              <w:tabs>
                <w:tab w:val="left" w:pos="3060"/>
              </w:tabs>
              <w:spacing w:before="0" w:beforeAutospacing="0" w:after="0" w:afterAutospacing="0" w:line="320" w:lineRule="exact"/>
              <w:ind w:left="0" w:right="0" w:firstLine="420" w:firstLineChars="200"/>
              <w:rPr>
                <w:rFonts w:hint="eastAsia" w:ascii="宋体" w:hAnsi="宋体"/>
                <w:szCs w:val="21"/>
              </w:rPr>
            </w:pPr>
            <w:r>
              <w:rPr>
                <w:rFonts w:hint="eastAsia" w:ascii="宋体" w:hAnsi="宋体"/>
                <w:szCs w:val="21"/>
              </w:rPr>
              <w:t>a．投标函按招标文件规定填报了招标人名称、项目名称、补遗书编号（如有）、</w:t>
            </w:r>
            <w:r>
              <w:rPr>
                <w:rFonts w:hint="eastAsia" w:ascii="宋体" w:hAnsi="宋体"/>
                <w:szCs w:val="21"/>
                <w:lang w:eastAsia="zh-CN"/>
              </w:rPr>
              <w:t>主要人员</w:t>
            </w:r>
            <w:r>
              <w:rPr>
                <w:rFonts w:hint="eastAsia" w:ascii="宋体" w:hAnsi="宋体"/>
                <w:szCs w:val="21"/>
              </w:rPr>
              <w:t>相关信息、质量要求、服务期限</w:t>
            </w:r>
            <w:r>
              <w:rPr>
                <w:rFonts w:hint="eastAsia" w:ascii="宋体" w:hAnsi="宋体"/>
                <w:szCs w:val="21"/>
                <w:lang w:val="en-US" w:eastAsia="zh-CN"/>
              </w:rPr>
              <w:t>、安全目标</w:t>
            </w:r>
            <w:r>
              <w:rPr>
                <w:rFonts w:hint="eastAsia" w:ascii="宋体" w:hAnsi="宋体"/>
                <w:szCs w:val="21"/>
              </w:rPr>
              <w:t>等内容；</w:t>
            </w:r>
          </w:p>
          <w:p w14:paraId="144238D8">
            <w:pPr>
              <w:keepNext w:val="0"/>
              <w:keepLines w:val="0"/>
              <w:suppressLineNumbers w:val="0"/>
              <w:tabs>
                <w:tab w:val="left" w:pos="3060"/>
              </w:tabs>
              <w:spacing w:before="0" w:beforeAutospacing="0" w:after="0" w:afterAutospacing="0" w:line="320" w:lineRule="exact"/>
              <w:ind w:left="0" w:right="0" w:firstLine="420" w:firstLineChars="200"/>
              <w:rPr>
                <w:rFonts w:hint="eastAsia" w:ascii="宋体" w:hAnsi="宋体"/>
                <w:szCs w:val="21"/>
              </w:rPr>
            </w:pPr>
            <w:r>
              <w:rPr>
                <w:rFonts w:hint="eastAsia" w:ascii="宋体" w:hAnsi="宋体"/>
                <w:szCs w:val="21"/>
              </w:rPr>
              <w:t>b．投标文件组成齐全完整，内容均按规定填写。</w:t>
            </w:r>
          </w:p>
          <w:p w14:paraId="28C67BAC">
            <w:pPr>
              <w:keepNext w:val="0"/>
              <w:keepLines w:val="0"/>
              <w:suppressLineNumbers w:val="0"/>
              <w:tabs>
                <w:tab w:val="left" w:pos="3060"/>
              </w:tabs>
              <w:spacing w:before="0" w:beforeAutospacing="0" w:after="0" w:afterAutospacing="0" w:line="320" w:lineRule="exact"/>
              <w:ind w:left="0" w:right="0" w:firstLine="210" w:firstLineChars="100"/>
              <w:rPr>
                <w:rFonts w:hint="eastAsia" w:ascii="宋体" w:hAnsi="宋体"/>
                <w:bCs/>
                <w:szCs w:val="21"/>
              </w:rPr>
            </w:pPr>
            <w:r>
              <w:rPr>
                <w:rFonts w:hint="eastAsia" w:ascii="宋体" w:hAnsi="宋体"/>
                <w:bCs/>
                <w:szCs w:val="21"/>
              </w:rPr>
              <w:t>（</w:t>
            </w:r>
            <w:r>
              <w:rPr>
                <w:rFonts w:hint="default" w:ascii="宋体" w:hAnsi="宋体"/>
                <w:bCs/>
                <w:szCs w:val="21"/>
              </w:rPr>
              <w:t>2</w:t>
            </w:r>
            <w:r>
              <w:rPr>
                <w:rFonts w:hint="eastAsia" w:ascii="宋体" w:hAnsi="宋体"/>
                <w:bCs/>
                <w:szCs w:val="21"/>
              </w:rPr>
              <w:t>）投标文件上法定代表人或其授权代理人的签字、投标人的单位章盖章齐全，符合招标文件规定。</w:t>
            </w:r>
          </w:p>
          <w:p w14:paraId="6ACFA753">
            <w:pPr>
              <w:keepNext w:val="0"/>
              <w:keepLines w:val="0"/>
              <w:suppressLineNumbers w:val="0"/>
              <w:tabs>
                <w:tab w:val="left" w:pos="3060"/>
              </w:tabs>
              <w:spacing w:before="0" w:beforeAutospacing="0" w:after="0" w:afterAutospacing="0" w:line="320" w:lineRule="exact"/>
              <w:ind w:left="0" w:right="0" w:firstLine="210" w:firstLineChars="100"/>
              <w:rPr>
                <w:rFonts w:hint="eastAsia" w:ascii="宋体" w:hAnsi="宋体"/>
                <w:szCs w:val="21"/>
              </w:rPr>
            </w:pPr>
            <w:r>
              <w:rPr>
                <w:rFonts w:hint="eastAsia" w:ascii="宋体" w:hAnsi="宋体" w:cs="宋体"/>
                <w:szCs w:val="21"/>
              </w:rPr>
              <w:t>（3）投标人按照招标文件的规定提供了投标保证金，满足招标文件投标人须知前附表第3.4.1款。</w:t>
            </w:r>
          </w:p>
          <w:p w14:paraId="4630342B">
            <w:pPr>
              <w:keepNext w:val="0"/>
              <w:keepLines w:val="0"/>
              <w:suppressLineNumbers w:val="0"/>
              <w:tabs>
                <w:tab w:val="left" w:pos="3060"/>
              </w:tabs>
              <w:spacing w:before="0" w:beforeAutospacing="0" w:after="0" w:afterAutospacing="0" w:line="320" w:lineRule="exact"/>
              <w:ind w:left="0" w:right="0" w:firstLine="210" w:firstLineChars="100"/>
              <w:rPr>
                <w:rFonts w:hint="eastAsia" w:ascii="宋体" w:hAnsi="宋体"/>
                <w:szCs w:val="21"/>
              </w:rPr>
            </w:pPr>
            <w:r>
              <w:rPr>
                <w:rFonts w:hint="eastAsia" w:ascii="宋体" w:hAnsi="宋体"/>
                <w:szCs w:val="21"/>
              </w:rPr>
              <w:t>（</w:t>
            </w:r>
            <w:r>
              <w:rPr>
                <w:rFonts w:hint="default" w:ascii="宋体" w:hAnsi="宋体"/>
                <w:szCs w:val="21"/>
              </w:rPr>
              <w:t>4</w:t>
            </w:r>
            <w:r>
              <w:rPr>
                <w:rFonts w:hint="eastAsia" w:ascii="宋体" w:hAnsi="宋体"/>
                <w:szCs w:val="21"/>
              </w:rPr>
              <w:t>）投标人法定代表人授权委托代理人签署投标文件的，须提交授权委托书，授权委托书符合招标文件规定。</w:t>
            </w:r>
          </w:p>
          <w:p w14:paraId="29AA095B">
            <w:pPr>
              <w:keepNext w:val="0"/>
              <w:keepLines w:val="0"/>
              <w:suppressLineNumbers w:val="0"/>
              <w:tabs>
                <w:tab w:val="left" w:pos="3060"/>
              </w:tabs>
              <w:spacing w:before="0" w:beforeAutospacing="0" w:after="0" w:afterAutospacing="0" w:line="320" w:lineRule="exact"/>
              <w:ind w:left="0" w:right="0" w:firstLine="210" w:firstLineChars="100"/>
              <w:rPr>
                <w:rFonts w:hint="eastAsia" w:ascii="宋体" w:hAnsi="宋体"/>
                <w:szCs w:val="21"/>
              </w:rPr>
            </w:pPr>
            <w:r>
              <w:rPr>
                <w:rFonts w:hint="eastAsia" w:ascii="宋体" w:hAnsi="宋体"/>
                <w:szCs w:val="21"/>
              </w:rPr>
              <w:t>（</w:t>
            </w:r>
            <w:r>
              <w:rPr>
                <w:rFonts w:hint="default" w:ascii="宋体" w:hAnsi="宋体"/>
                <w:szCs w:val="21"/>
              </w:rPr>
              <w:t>5</w:t>
            </w:r>
            <w:r>
              <w:rPr>
                <w:rFonts w:hint="eastAsia" w:ascii="宋体" w:hAnsi="宋体"/>
                <w:szCs w:val="21"/>
              </w:rPr>
              <w:t>）投标人法定代表人亲自签署投标文件的，提供了法定代表人身份证明，法定代表人身份证明符合招标文件规定。</w:t>
            </w:r>
          </w:p>
          <w:p w14:paraId="0B711F61">
            <w:pPr>
              <w:keepNext w:val="0"/>
              <w:keepLines w:val="0"/>
              <w:suppressLineNumbers w:val="0"/>
              <w:tabs>
                <w:tab w:val="left" w:pos="3060"/>
              </w:tabs>
              <w:spacing w:before="0" w:beforeAutospacing="0" w:after="0" w:afterAutospacing="0" w:line="320" w:lineRule="exact"/>
              <w:ind w:left="0" w:right="0" w:firstLine="210" w:firstLineChars="100"/>
              <w:rPr>
                <w:rFonts w:hint="eastAsia" w:ascii="宋体" w:hAnsi="宋体"/>
                <w:szCs w:val="21"/>
                <w:highlight w:val="none"/>
                <w:lang w:val="en-US" w:eastAsia="zh-CN"/>
              </w:rPr>
            </w:pPr>
            <w:r>
              <w:rPr>
                <w:rFonts w:hint="eastAsia" w:ascii="宋体" w:hAnsi="宋体"/>
                <w:szCs w:val="21"/>
                <w:highlight w:val="none"/>
                <w:lang w:eastAsia="zh-CN"/>
              </w:rPr>
              <w:t>（</w:t>
            </w:r>
            <w:r>
              <w:rPr>
                <w:rFonts w:hint="eastAsia" w:ascii="宋体" w:hAnsi="宋体"/>
                <w:szCs w:val="21"/>
                <w:highlight w:val="none"/>
                <w:lang w:val="en-US" w:eastAsia="zh-CN"/>
              </w:rPr>
              <w:t>6</w:t>
            </w:r>
            <w:r>
              <w:rPr>
                <w:rFonts w:hint="eastAsia" w:ascii="宋体" w:hAnsi="宋体"/>
                <w:szCs w:val="21"/>
                <w:highlight w:val="none"/>
                <w:lang w:eastAsia="zh-CN"/>
              </w:rPr>
              <w:t>）</w:t>
            </w:r>
            <w:r>
              <w:rPr>
                <w:rFonts w:hint="eastAsia" w:ascii="宋体" w:hAnsi="宋体"/>
                <w:szCs w:val="21"/>
                <w:highlight w:val="none"/>
                <w:lang w:val="en-US" w:eastAsia="zh-CN"/>
              </w:rPr>
              <w:t>投标人未对本项目进行分包。</w:t>
            </w:r>
          </w:p>
          <w:p w14:paraId="53BCC51C">
            <w:pPr>
              <w:keepNext w:val="0"/>
              <w:keepLines w:val="0"/>
              <w:suppressLineNumbers w:val="0"/>
              <w:tabs>
                <w:tab w:val="left" w:pos="3060"/>
              </w:tabs>
              <w:spacing w:before="0" w:beforeAutospacing="0" w:after="0" w:afterAutospacing="0" w:line="320" w:lineRule="exact"/>
              <w:ind w:left="0" w:right="0" w:firstLine="210" w:firstLineChars="100"/>
              <w:rPr>
                <w:rFonts w:hint="default" w:ascii="宋体" w:hAnsi="宋体"/>
                <w:szCs w:val="21"/>
                <w:lang w:val="en-US" w:eastAsia="zh-CN"/>
              </w:rPr>
            </w:pPr>
            <w:r>
              <w:rPr>
                <w:rFonts w:hint="eastAsia" w:ascii="宋体" w:hAnsi="宋体"/>
                <w:szCs w:val="21"/>
                <w:lang w:val="en-US" w:eastAsia="zh-CN"/>
              </w:rPr>
              <w:t>（7）投标人未以联合体形式投标。</w:t>
            </w:r>
          </w:p>
          <w:p w14:paraId="5882E47E">
            <w:pPr>
              <w:keepNext w:val="0"/>
              <w:keepLines w:val="0"/>
              <w:suppressLineNumbers w:val="0"/>
              <w:tabs>
                <w:tab w:val="left" w:pos="3060"/>
              </w:tabs>
              <w:spacing w:before="0" w:beforeAutospacing="0" w:after="0" w:afterAutospacing="0" w:line="320" w:lineRule="exact"/>
              <w:ind w:left="0" w:right="0" w:firstLine="210" w:firstLineChars="100"/>
              <w:rPr>
                <w:rFonts w:hint="eastAsia" w:ascii="宋体" w:hAnsi="宋体"/>
                <w:szCs w:val="21"/>
              </w:rPr>
            </w:pPr>
            <w:r>
              <w:rPr>
                <w:rFonts w:hint="eastAsia" w:ascii="宋体" w:hAnsi="宋体"/>
                <w:szCs w:val="21"/>
              </w:rPr>
              <w:t>（</w:t>
            </w:r>
            <w:r>
              <w:rPr>
                <w:rFonts w:hint="eastAsia" w:ascii="宋体" w:hAnsi="宋体"/>
                <w:szCs w:val="21"/>
                <w:lang w:val="en-US" w:eastAsia="zh-CN"/>
              </w:rPr>
              <w:t>8</w:t>
            </w:r>
            <w:r>
              <w:rPr>
                <w:rFonts w:hint="eastAsia" w:ascii="宋体" w:hAnsi="宋体"/>
                <w:szCs w:val="21"/>
              </w:rPr>
              <w:t>）投标人未提交两个以上不同的投标文件。</w:t>
            </w:r>
          </w:p>
          <w:p w14:paraId="17450872">
            <w:pPr>
              <w:keepNext w:val="0"/>
              <w:keepLines w:val="0"/>
              <w:suppressLineNumbers w:val="0"/>
              <w:tabs>
                <w:tab w:val="left" w:pos="3060"/>
              </w:tabs>
              <w:spacing w:before="0" w:beforeAutospacing="0" w:after="0" w:afterAutospacing="0" w:line="320" w:lineRule="exact"/>
              <w:ind w:left="0" w:right="0" w:firstLine="210" w:firstLineChars="100"/>
              <w:rPr>
                <w:rFonts w:hint="eastAsia" w:ascii="宋体" w:hAnsi="宋体"/>
                <w:szCs w:val="21"/>
              </w:rPr>
            </w:pPr>
            <w:r>
              <w:rPr>
                <w:rFonts w:hint="eastAsia" w:ascii="宋体" w:hAnsi="宋体"/>
                <w:szCs w:val="21"/>
              </w:rPr>
              <w:t>（</w:t>
            </w:r>
            <w:r>
              <w:rPr>
                <w:rFonts w:hint="eastAsia" w:ascii="宋体" w:hAnsi="宋体"/>
                <w:szCs w:val="21"/>
                <w:lang w:val="en-US" w:eastAsia="zh-CN"/>
              </w:rPr>
              <w:t>9</w:t>
            </w:r>
            <w:r>
              <w:rPr>
                <w:rFonts w:hint="eastAsia" w:ascii="宋体" w:hAnsi="宋体"/>
                <w:szCs w:val="21"/>
              </w:rPr>
              <w:t>）投标文件中未出现有关投标报价的内容。</w:t>
            </w:r>
          </w:p>
          <w:p w14:paraId="7B2A3A6E">
            <w:pPr>
              <w:keepNext w:val="0"/>
              <w:keepLines w:val="0"/>
              <w:suppressLineNumbers w:val="0"/>
              <w:tabs>
                <w:tab w:val="left" w:pos="3060"/>
              </w:tabs>
              <w:spacing w:before="0" w:beforeAutospacing="0" w:after="0" w:afterAutospacing="0" w:line="320" w:lineRule="exact"/>
              <w:ind w:left="0" w:right="0" w:firstLine="210" w:firstLineChars="100"/>
              <w:rPr>
                <w:rFonts w:hint="eastAsia" w:ascii="宋体" w:hAnsi="宋体"/>
                <w:szCs w:val="21"/>
              </w:rPr>
            </w:pPr>
            <w:r>
              <w:rPr>
                <w:rFonts w:hint="eastAsia" w:ascii="宋体" w:hAnsi="宋体"/>
                <w:szCs w:val="21"/>
              </w:rPr>
              <w:t>（</w:t>
            </w:r>
            <w:r>
              <w:rPr>
                <w:rFonts w:hint="eastAsia" w:ascii="宋体" w:hAnsi="宋体"/>
                <w:szCs w:val="21"/>
                <w:lang w:val="en-US" w:eastAsia="zh-CN"/>
              </w:rPr>
              <w:t>10</w:t>
            </w:r>
            <w:r>
              <w:rPr>
                <w:rFonts w:hint="eastAsia" w:ascii="宋体" w:hAnsi="宋体"/>
                <w:szCs w:val="21"/>
              </w:rPr>
              <w:t>）投标文件载明的招标项目完成期限未超过招标文件规定的时限。</w:t>
            </w:r>
          </w:p>
          <w:p w14:paraId="249BF15A">
            <w:pPr>
              <w:keepNext w:val="0"/>
              <w:keepLines w:val="0"/>
              <w:suppressLineNumbers w:val="0"/>
              <w:tabs>
                <w:tab w:val="left" w:pos="3060"/>
              </w:tabs>
              <w:spacing w:before="0" w:beforeAutospacing="0" w:after="0" w:afterAutospacing="0" w:line="320" w:lineRule="exact"/>
              <w:ind w:left="0" w:right="0" w:firstLine="210" w:firstLineChars="100"/>
              <w:rPr>
                <w:rFonts w:hint="eastAsia" w:ascii="宋体" w:hAnsi="宋体"/>
                <w:szCs w:val="21"/>
              </w:rPr>
            </w:pPr>
            <w:r>
              <w:rPr>
                <w:rFonts w:hint="eastAsia" w:ascii="宋体" w:hAnsi="宋体"/>
                <w:szCs w:val="21"/>
              </w:rPr>
              <w:t>（1</w:t>
            </w:r>
            <w:r>
              <w:rPr>
                <w:rFonts w:hint="eastAsia" w:ascii="宋体" w:hAnsi="宋体"/>
                <w:szCs w:val="21"/>
                <w:lang w:val="en-US" w:eastAsia="zh-CN"/>
              </w:rPr>
              <w:t>1</w:t>
            </w:r>
            <w:r>
              <w:rPr>
                <w:rFonts w:hint="eastAsia" w:ascii="宋体" w:hAnsi="宋体"/>
                <w:szCs w:val="21"/>
              </w:rPr>
              <w:t>）投标文件对招标文件的实质性要求和条件作出响应。</w:t>
            </w:r>
          </w:p>
          <w:p w14:paraId="11D57493">
            <w:pPr>
              <w:keepNext w:val="0"/>
              <w:keepLines w:val="0"/>
              <w:suppressLineNumbers w:val="0"/>
              <w:tabs>
                <w:tab w:val="left" w:pos="3060"/>
              </w:tabs>
              <w:spacing w:before="0" w:beforeAutospacing="0" w:after="0" w:afterAutospacing="0" w:line="320" w:lineRule="exact"/>
              <w:ind w:left="0" w:right="0" w:firstLine="210" w:firstLineChars="100"/>
              <w:rPr>
                <w:rFonts w:hint="eastAsia" w:ascii="宋体" w:hAnsi="宋体"/>
                <w:szCs w:val="21"/>
              </w:rPr>
            </w:pPr>
            <w:r>
              <w:rPr>
                <w:rFonts w:hint="eastAsia" w:ascii="宋体" w:hAnsi="宋体"/>
                <w:szCs w:val="21"/>
              </w:rPr>
              <w:t>（</w:t>
            </w:r>
            <w:r>
              <w:rPr>
                <w:rFonts w:hint="default" w:ascii="宋体" w:hAnsi="宋体"/>
                <w:szCs w:val="21"/>
              </w:rPr>
              <w:t>1</w:t>
            </w:r>
            <w:r>
              <w:rPr>
                <w:rFonts w:hint="eastAsia" w:ascii="宋体" w:hAnsi="宋体"/>
                <w:szCs w:val="21"/>
                <w:lang w:val="en-US" w:eastAsia="zh-CN"/>
              </w:rPr>
              <w:t>2</w:t>
            </w:r>
            <w:r>
              <w:rPr>
                <w:rFonts w:hint="eastAsia" w:ascii="宋体" w:hAnsi="宋体"/>
                <w:szCs w:val="21"/>
              </w:rPr>
              <w:t>）权利义务符合招标文件规定：</w:t>
            </w:r>
          </w:p>
          <w:p w14:paraId="0AF1C17E">
            <w:pPr>
              <w:keepNext w:val="0"/>
              <w:keepLines w:val="0"/>
              <w:suppressLineNumbers w:val="0"/>
              <w:tabs>
                <w:tab w:val="left" w:pos="3060"/>
              </w:tabs>
              <w:spacing w:before="0" w:beforeAutospacing="0" w:after="0" w:afterAutospacing="0" w:line="320" w:lineRule="exact"/>
              <w:ind w:left="0" w:right="0" w:firstLine="210" w:firstLineChars="100"/>
              <w:rPr>
                <w:rFonts w:hint="eastAsia" w:ascii="宋体" w:hAnsi="宋体"/>
                <w:szCs w:val="21"/>
              </w:rPr>
            </w:pPr>
            <w:r>
              <w:rPr>
                <w:rFonts w:hint="eastAsia" w:ascii="宋体" w:hAnsi="宋体"/>
                <w:szCs w:val="21"/>
              </w:rPr>
              <w:t>a.投标人应接受招标文件规定的风险划分原则，未提出新的风险划分办法；</w:t>
            </w:r>
          </w:p>
          <w:p w14:paraId="6B57315A">
            <w:pPr>
              <w:keepNext w:val="0"/>
              <w:keepLines w:val="0"/>
              <w:suppressLineNumbers w:val="0"/>
              <w:tabs>
                <w:tab w:val="left" w:pos="3060"/>
              </w:tabs>
              <w:spacing w:before="0" w:beforeAutospacing="0" w:after="0" w:afterAutospacing="0" w:line="320" w:lineRule="exact"/>
              <w:ind w:left="0" w:right="0" w:firstLine="210" w:firstLineChars="100"/>
              <w:rPr>
                <w:rFonts w:hint="eastAsia" w:ascii="宋体" w:hAnsi="宋体"/>
                <w:szCs w:val="21"/>
              </w:rPr>
            </w:pPr>
            <w:r>
              <w:rPr>
                <w:rFonts w:hint="eastAsia" w:ascii="宋体" w:hAnsi="宋体"/>
                <w:szCs w:val="21"/>
              </w:rPr>
              <w:t>b.投标人未增加发包人的责任范围，或减少投标人义务；</w:t>
            </w:r>
          </w:p>
          <w:p w14:paraId="5D07C306">
            <w:pPr>
              <w:keepNext w:val="0"/>
              <w:keepLines w:val="0"/>
              <w:suppressLineNumbers w:val="0"/>
              <w:tabs>
                <w:tab w:val="left" w:pos="3060"/>
              </w:tabs>
              <w:spacing w:before="0" w:beforeAutospacing="0" w:after="0" w:afterAutospacing="0" w:line="320" w:lineRule="exact"/>
              <w:ind w:left="0" w:right="0" w:firstLine="210" w:firstLineChars="100"/>
              <w:rPr>
                <w:rFonts w:hint="eastAsia" w:ascii="宋体" w:hAnsi="宋体"/>
                <w:szCs w:val="21"/>
              </w:rPr>
            </w:pPr>
            <w:r>
              <w:rPr>
                <w:rFonts w:hint="eastAsia" w:ascii="宋体" w:hAnsi="宋体"/>
                <w:szCs w:val="21"/>
              </w:rPr>
              <w:t>c.投标人未提出不同的支付办法；</w:t>
            </w:r>
          </w:p>
          <w:p w14:paraId="6F31D77C">
            <w:pPr>
              <w:keepNext w:val="0"/>
              <w:keepLines w:val="0"/>
              <w:suppressLineNumbers w:val="0"/>
              <w:tabs>
                <w:tab w:val="left" w:pos="3060"/>
              </w:tabs>
              <w:spacing w:before="0" w:beforeAutospacing="0" w:after="0" w:afterAutospacing="0" w:line="320" w:lineRule="exact"/>
              <w:ind w:left="0" w:right="0" w:firstLine="210" w:firstLineChars="100"/>
              <w:rPr>
                <w:rFonts w:hint="eastAsia" w:ascii="宋体" w:hAnsi="宋体"/>
                <w:szCs w:val="21"/>
              </w:rPr>
            </w:pPr>
            <w:r>
              <w:rPr>
                <w:rFonts w:hint="eastAsia" w:ascii="宋体" w:hAnsi="宋体"/>
                <w:szCs w:val="21"/>
              </w:rPr>
              <w:t>d.投标人对合同纠纷、事故处理办法未提出异议；</w:t>
            </w:r>
          </w:p>
          <w:p w14:paraId="7E60B2D0">
            <w:pPr>
              <w:keepNext w:val="0"/>
              <w:keepLines w:val="0"/>
              <w:suppressLineNumbers w:val="0"/>
              <w:tabs>
                <w:tab w:val="left" w:pos="3060"/>
              </w:tabs>
              <w:spacing w:before="0" w:beforeAutospacing="0" w:after="0" w:afterAutospacing="0" w:line="320" w:lineRule="exact"/>
              <w:ind w:left="0" w:right="0" w:firstLine="210" w:firstLineChars="100"/>
              <w:rPr>
                <w:rFonts w:hint="eastAsia" w:ascii="宋体" w:hAnsi="宋体"/>
                <w:szCs w:val="21"/>
              </w:rPr>
            </w:pPr>
            <w:r>
              <w:rPr>
                <w:rFonts w:hint="eastAsia" w:ascii="宋体" w:hAnsi="宋体"/>
                <w:szCs w:val="21"/>
              </w:rPr>
              <w:t>e.投标人在投标活动中无欺诈行为；</w:t>
            </w:r>
          </w:p>
          <w:p w14:paraId="118C5BB9">
            <w:pPr>
              <w:keepNext w:val="0"/>
              <w:keepLines w:val="0"/>
              <w:suppressLineNumbers w:val="0"/>
              <w:tabs>
                <w:tab w:val="left" w:pos="3060"/>
              </w:tabs>
              <w:spacing w:before="0" w:beforeAutospacing="0" w:after="0" w:afterAutospacing="0" w:line="320" w:lineRule="exact"/>
              <w:ind w:left="0" w:right="0" w:firstLine="210" w:firstLineChars="100"/>
              <w:rPr>
                <w:rFonts w:hint="eastAsia" w:ascii="宋体" w:hAnsi="宋体"/>
                <w:b/>
                <w:szCs w:val="21"/>
              </w:rPr>
            </w:pPr>
            <w:r>
              <w:rPr>
                <w:rFonts w:hint="eastAsia" w:ascii="宋体" w:hAnsi="宋体"/>
                <w:szCs w:val="21"/>
              </w:rPr>
              <w:t>f.投标人未对合同条款有重要保留。</w:t>
            </w:r>
          </w:p>
          <w:p w14:paraId="58F10CB1">
            <w:pPr>
              <w:keepNext w:val="0"/>
              <w:keepLines w:val="0"/>
              <w:suppressLineNumbers w:val="0"/>
              <w:tabs>
                <w:tab w:val="left" w:pos="3060"/>
              </w:tabs>
              <w:spacing w:before="0" w:beforeAutospacing="0" w:after="0" w:afterAutospacing="0" w:line="320" w:lineRule="exact"/>
              <w:ind w:left="0" w:right="0" w:firstLine="211" w:firstLineChars="100"/>
              <w:rPr>
                <w:rFonts w:hint="eastAsia" w:ascii="宋体" w:hAnsi="宋体"/>
                <w:szCs w:val="21"/>
              </w:rPr>
            </w:pPr>
            <w:r>
              <w:rPr>
                <w:rFonts w:hint="eastAsia" w:ascii="宋体" w:hAnsi="宋体"/>
                <w:b/>
                <w:szCs w:val="21"/>
              </w:rPr>
              <w:t>第一个信封（技术文件）评审标准：</w:t>
            </w:r>
          </w:p>
          <w:p w14:paraId="0571BE10">
            <w:pPr>
              <w:keepNext w:val="0"/>
              <w:keepLines w:val="0"/>
              <w:suppressLineNumbers w:val="0"/>
              <w:tabs>
                <w:tab w:val="left" w:pos="3060"/>
              </w:tabs>
              <w:spacing w:before="0" w:beforeAutospacing="0" w:after="0" w:afterAutospacing="0" w:line="320" w:lineRule="exact"/>
              <w:ind w:left="0" w:right="0" w:firstLine="210" w:firstLineChars="100"/>
              <w:rPr>
                <w:rFonts w:hint="eastAsia" w:ascii="宋体" w:hAnsi="宋体"/>
                <w:szCs w:val="21"/>
              </w:rPr>
            </w:pPr>
            <w:r>
              <w:rPr>
                <w:rFonts w:hint="eastAsia" w:ascii="宋体" w:hAnsi="宋体"/>
                <w:szCs w:val="21"/>
                <w:highlight w:val="none"/>
              </w:rPr>
              <w:t>（1）技术</w:t>
            </w:r>
            <w:r>
              <w:rPr>
                <w:rFonts w:hint="eastAsia" w:ascii="宋体" w:hAnsi="宋体"/>
                <w:szCs w:val="21"/>
                <w:highlight w:val="none"/>
                <w:lang w:eastAsia="zh-CN"/>
              </w:rPr>
              <w:t>部分</w:t>
            </w:r>
            <w:r>
              <w:rPr>
                <w:rFonts w:hint="eastAsia" w:ascii="宋体" w:hAnsi="宋体"/>
                <w:szCs w:val="21"/>
                <w:highlight w:val="none"/>
              </w:rPr>
              <w:t>的编制符合招标文件第二章“投标人须知”第10.2款的规定。</w:t>
            </w:r>
          </w:p>
          <w:p w14:paraId="764F6D22">
            <w:pPr>
              <w:keepNext w:val="0"/>
              <w:keepLines w:val="0"/>
              <w:suppressLineNumbers w:val="0"/>
              <w:tabs>
                <w:tab w:val="left" w:pos="3060"/>
              </w:tabs>
              <w:spacing w:before="0" w:beforeAutospacing="0" w:after="0" w:afterAutospacing="0" w:line="320" w:lineRule="exact"/>
              <w:ind w:left="0" w:right="0"/>
              <w:rPr>
                <w:rFonts w:hint="eastAsia" w:ascii="宋体" w:hAnsi="宋体"/>
                <w:b/>
                <w:szCs w:val="21"/>
              </w:rPr>
            </w:pPr>
            <w:r>
              <w:rPr>
                <w:rFonts w:hint="eastAsia" w:ascii="宋体" w:hAnsi="宋体"/>
                <w:b/>
                <w:szCs w:val="21"/>
              </w:rPr>
              <w:t>第二个信封（报价文件）评审标准：</w:t>
            </w:r>
          </w:p>
          <w:p w14:paraId="2CDC2DBD">
            <w:pPr>
              <w:keepNext w:val="0"/>
              <w:keepLines w:val="0"/>
              <w:suppressLineNumbers w:val="0"/>
              <w:tabs>
                <w:tab w:val="left" w:pos="3060"/>
              </w:tabs>
              <w:spacing w:before="0" w:beforeAutospacing="0" w:after="0" w:afterAutospacing="0" w:line="320" w:lineRule="exact"/>
              <w:ind w:left="0" w:right="0" w:firstLine="210" w:firstLineChars="100"/>
              <w:rPr>
                <w:rFonts w:hint="eastAsia" w:ascii="宋体" w:hAnsi="宋体"/>
                <w:szCs w:val="21"/>
              </w:rPr>
            </w:pPr>
            <w:r>
              <w:rPr>
                <w:rFonts w:hint="eastAsia" w:ascii="宋体" w:hAnsi="宋体"/>
                <w:szCs w:val="21"/>
              </w:rPr>
              <w:t>（1）投标文件按照招标文件规定的格式、内容填写，字迹清晰可辨，内容齐全完整：</w:t>
            </w:r>
          </w:p>
          <w:p w14:paraId="50832C3D">
            <w:pPr>
              <w:keepNext w:val="0"/>
              <w:keepLines w:val="0"/>
              <w:suppressLineNumbers w:val="0"/>
              <w:tabs>
                <w:tab w:val="left" w:pos="3060"/>
              </w:tabs>
              <w:spacing w:before="0" w:beforeAutospacing="0" w:after="0" w:afterAutospacing="0" w:line="320" w:lineRule="exact"/>
              <w:ind w:left="0" w:right="0" w:firstLine="420" w:firstLineChars="200"/>
              <w:rPr>
                <w:rFonts w:hint="eastAsia" w:ascii="宋体" w:hAnsi="宋体"/>
                <w:szCs w:val="21"/>
              </w:rPr>
            </w:pPr>
            <w:r>
              <w:rPr>
                <w:rFonts w:hint="eastAsia" w:ascii="宋体" w:hAnsi="宋体"/>
                <w:szCs w:val="21"/>
              </w:rPr>
              <w:t>a．投标函</w:t>
            </w:r>
            <w:r>
              <w:rPr>
                <w:rFonts w:hint="eastAsia" w:ascii="宋体" w:hAnsi="宋体"/>
                <w:szCs w:val="21"/>
                <w:lang w:val="en-US" w:eastAsia="zh-CN"/>
              </w:rPr>
              <w:t>、投标报价汇总表（分项报价）</w:t>
            </w:r>
            <w:r>
              <w:rPr>
                <w:rFonts w:hint="eastAsia" w:ascii="宋体" w:hAnsi="宋体"/>
                <w:szCs w:val="21"/>
              </w:rPr>
              <w:t>按招标文件规定填报了招标人名称、项目名称、补遗书编号（如有）、投标报价（包括大写金额和小写金额）；</w:t>
            </w:r>
          </w:p>
          <w:p w14:paraId="4E0E222D">
            <w:pPr>
              <w:keepNext w:val="0"/>
              <w:keepLines w:val="0"/>
              <w:suppressLineNumbers w:val="0"/>
              <w:tabs>
                <w:tab w:val="left" w:pos="3060"/>
              </w:tabs>
              <w:spacing w:before="0" w:beforeAutospacing="0" w:after="0" w:afterAutospacing="0" w:line="320" w:lineRule="exact"/>
              <w:ind w:left="0" w:right="0" w:firstLine="420" w:firstLineChars="200"/>
              <w:rPr>
                <w:rFonts w:hint="eastAsia" w:ascii="宋体" w:hAnsi="宋体"/>
                <w:szCs w:val="21"/>
              </w:rPr>
            </w:pPr>
            <w:r>
              <w:rPr>
                <w:rFonts w:hint="eastAsia" w:ascii="宋体" w:hAnsi="宋体"/>
                <w:szCs w:val="21"/>
              </w:rPr>
              <w:t>b．投标文件组成齐全完整，内容均按规定填写。</w:t>
            </w:r>
          </w:p>
          <w:p w14:paraId="6F5FA0E1">
            <w:pPr>
              <w:keepNext w:val="0"/>
              <w:keepLines w:val="0"/>
              <w:suppressLineNumbers w:val="0"/>
              <w:tabs>
                <w:tab w:val="left" w:pos="3060"/>
              </w:tabs>
              <w:spacing w:before="0" w:beforeAutospacing="0" w:after="0" w:afterAutospacing="0" w:line="320" w:lineRule="exact"/>
              <w:ind w:left="0" w:right="0" w:firstLine="205" w:firstLineChars="98"/>
              <w:rPr>
                <w:rFonts w:hint="eastAsia" w:ascii="宋体" w:hAnsi="宋体"/>
                <w:bCs/>
                <w:szCs w:val="21"/>
              </w:rPr>
            </w:pPr>
            <w:r>
              <w:rPr>
                <w:rFonts w:hint="eastAsia" w:ascii="宋体" w:hAnsi="宋体"/>
                <w:bCs/>
                <w:szCs w:val="21"/>
              </w:rPr>
              <w:t>（2）投标文件上法定代表人或其授权代理人的签字、投标人的单位章盖章齐全，符合招标文件规定。</w:t>
            </w:r>
          </w:p>
          <w:p w14:paraId="57BDC412">
            <w:pPr>
              <w:keepNext w:val="0"/>
              <w:keepLines w:val="0"/>
              <w:suppressLineNumbers w:val="0"/>
              <w:tabs>
                <w:tab w:val="left" w:pos="3060"/>
              </w:tabs>
              <w:spacing w:before="0" w:beforeAutospacing="0" w:after="0" w:afterAutospacing="0" w:line="320" w:lineRule="exact"/>
              <w:ind w:left="0" w:right="0" w:firstLine="205" w:firstLineChars="98"/>
              <w:rPr>
                <w:rFonts w:hint="eastAsia" w:ascii="宋体" w:hAnsi="宋体"/>
                <w:bCs/>
                <w:szCs w:val="21"/>
              </w:rPr>
            </w:pPr>
            <w:r>
              <w:rPr>
                <w:rFonts w:hint="eastAsia" w:ascii="宋体" w:hAnsi="宋体"/>
                <w:bCs/>
                <w:szCs w:val="21"/>
              </w:rPr>
              <w:t>（</w:t>
            </w:r>
            <w:r>
              <w:rPr>
                <w:rFonts w:hint="default" w:ascii="宋体" w:hAnsi="宋体"/>
                <w:bCs/>
                <w:szCs w:val="21"/>
              </w:rPr>
              <w:t>3</w:t>
            </w:r>
            <w:r>
              <w:rPr>
                <w:rFonts w:hint="eastAsia" w:ascii="宋体" w:hAnsi="宋体"/>
                <w:bCs/>
                <w:szCs w:val="21"/>
              </w:rPr>
              <w:t>）投标报价及各分项报价均未超过招标文件设定的最高投标限价。</w:t>
            </w:r>
          </w:p>
          <w:p w14:paraId="7A2E04BD">
            <w:pPr>
              <w:keepNext w:val="0"/>
              <w:keepLines w:val="0"/>
              <w:suppressLineNumbers w:val="0"/>
              <w:tabs>
                <w:tab w:val="left" w:pos="3060"/>
              </w:tabs>
              <w:spacing w:before="0" w:beforeAutospacing="0" w:after="0" w:afterAutospacing="0" w:line="320" w:lineRule="exact"/>
              <w:ind w:left="0" w:right="0" w:firstLine="205" w:firstLineChars="98"/>
              <w:rPr>
                <w:rFonts w:hint="eastAsia" w:ascii="宋体" w:hAnsi="宋体"/>
                <w:bCs/>
                <w:szCs w:val="21"/>
              </w:rPr>
            </w:pPr>
            <w:r>
              <w:rPr>
                <w:rFonts w:hint="eastAsia" w:ascii="宋体" w:hAnsi="宋体"/>
                <w:bCs/>
                <w:szCs w:val="21"/>
              </w:rPr>
              <w:t>（</w:t>
            </w:r>
            <w:r>
              <w:rPr>
                <w:rFonts w:hint="default" w:ascii="宋体" w:hAnsi="宋体"/>
                <w:bCs/>
                <w:szCs w:val="21"/>
              </w:rPr>
              <w:t>4</w:t>
            </w:r>
            <w:r>
              <w:rPr>
                <w:rFonts w:hint="eastAsia" w:ascii="宋体" w:hAnsi="宋体"/>
                <w:bCs/>
                <w:szCs w:val="21"/>
              </w:rPr>
              <w:t>）投标报价的大写金额能够确定具体数值。</w:t>
            </w:r>
          </w:p>
          <w:p w14:paraId="61099FE8">
            <w:pPr>
              <w:keepNext w:val="0"/>
              <w:keepLines w:val="0"/>
              <w:suppressLineNumbers w:val="0"/>
              <w:tabs>
                <w:tab w:val="left" w:pos="3060"/>
              </w:tabs>
              <w:spacing w:before="0" w:beforeAutospacing="0" w:after="0" w:afterAutospacing="0" w:line="320" w:lineRule="exact"/>
              <w:ind w:left="0" w:right="0" w:firstLine="205" w:firstLineChars="98"/>
              <w:rPr>
                <w:rFonts w:hint="eastAsia" w:ascii="宋体" w:hAnsi="宋体"/>
                <w:bCs/>
                <w:szCs w:val="21"/>
              </w:rPr>
            </w:pPr>
            <w:r>
              <w:rPr>
                <w:rFonts w:hint="eastAsia" w:ascii="宋体" w:hAnsi="宋体"/>
                <w:bCs/>
                <w:szCs w:val="21"/>
              </w:rPr>
              <w:t>（</w:t>
            </w:r>
            <w:r>
              <w:rPr>
                <w:rFonts w:hint="default" w:ascii="宋体" w:hAnsi="宋体"/>
                <w:bCs/>
                <w:szCs w:val="21"/>
              </w:rPr>
              <w:t>5</w:t>
            </w:r>
            <w:r>
              <w:rPr>
                <w:rFonts w:hint="eastAsia" w:ascii="宋体" w:hAnsi="宋体"/>
                <w:bCs/>
                <w:szCs w:val="21"/>
              </w:rPr>
              <w:t>）投标人未提交两个以上不同的投标报价。</w:t>
            </w:r>
          </w:p>
          <w:p w14:paraId="1394EB98">
            <w:pPr>
              <w:keepNext w:val="0"/>
              <w:keepLines w:val="0"/>
              <w:suppressLineNumbers w:val="0"/>
              <w:tabs>
                <w:tab w:val="left" w:pos="3060"/>
              </w:tabs>
              <w:spacing w:before="0" w:beforeAutospacing="0" w:after="0" w:afterAutospacing="0" w:line="320" w:lineRule="exact"/>
              <w:ind w:left="0" w:right="0" w:firstLine="205" w:firstLineChars="98"/>
              <w:rPr>
                <w:rFonts w:hint="eastAsia" w:eastAsia="宋体"/>
                <w:lang w:val="en-US" w:eastAsia="zh-CN"/>
              </w:rPr>
            </w:pPr>
            <w:r>
              <w:rPr>
                <w:rFonts w:hint="eastAsia" w:ascii="宋体" w:hAnsi="宋体"/>
                <w:bCs/>
                <w:szCs w:val="21"/>
              </w:rPr>
              <w:t>（6）</w:t>
            </w:r>
            <w:r>
              <w:rPr>
                <w:rFonts w:hint="eastAsia" w:ascii="宋体" w:hAnsi="宋体"/>
                <w:szCs w:val="21"/>
              </w:rPr>
              <w:t>服务费用清单</w:t>
            </w:r>
            <w:r>
              <w:rPr>
                <w:rFonts w:hint="eastAsia" w:ascii="宋体" w:hAnsi="宋体"/>
                <w:bCs/>
                <w:szCs w:val="21"/>
              </w:rPr>
              <w:t>中的投标报价和投标函大写金额报价一致。</w:t>
            </w:r>
          </w:p>
        </w:tc>
      </w:tr>
      <w:tr w14:paraId="78BA7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4" w:type="pct"/>
            <w:vAlign w:val="center"/>
          </w:tcPr>
          <w:p w14:paraId="2E85CE98">
            <w:pPr>
              <w:keepNext w:val="0"/>
              <w:keepLines w:val="0"/>
              <w:suppressLineNumbers w:val="0"/>
              <w:spacing w:before="0" w:beforeAutospacing="0" w:after="0" w:afterAutospacing="0"/>
              <w:ind w:left="0" w:right="0"/>
              <w:jc w:val="center"/>
              <w:rPr>
                <w:rFonts w:hint="eastAsia" w:ascii="宋体" w:hAnsi="宋体"/>
              </w:rPr>
            </w:pPr>
            <w:r>
              <w:rPr>
                <w:rFonts w:hint="default" w:ascii="宋体" w:hAnsi="宋体"/>
              </w:rPr>
              <w:t>2.1.2</w:t>
            </w:r>
          </w:p>
        </w:tc>
        <w:tc>
          <w:tcPr>
            <w:tcW w:w="593" w:type="pct"/>
            <w:vAlign w:val="center"/>
          </w:tcPr>
          <w:p w14:paraId="6C4A5E6A">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资格评审标准</w:t>
            </w:r>
          </w:p>
        </w:tc>
        <w:tc>
          <w:tcPr>
            <w:tcW w:w="3982" w:type="pct"/>
          </w:tcPr>
          <w:p w14:paraId="12D70693">
            <w:pPr>
              <w:keepNext w:val="0"/>
              <w:keepLines w:val="0"/>
              <w:suppressLineNumbers w:val="0"/>
              <w:tabs>
                <w:tab w:val="left" w:pos="3060"/>
              </w:tabs>
              <w:spacing w:before="0" w:beforeAutospacing="0" w:after="0" w:afterAutospacing="0" w:line="320" w:lineRule="exact"/>
              <w:ind w:left="0" w:right="0" w:firstLine="105" w:firstLineChars="50"/>
              <w:rPr>
                <w:rFonts w:hint="eastAsia" w:ascii="宋体" w:hAnsi="宋体"/>
                <w:szCs w:val="21"/>
              </w:rPr>
            </w:pPr>
            <w:r>
              <w:rPr>
                <w:rFonts w:hint="eastAsia" w:ascii="宋体" w:hAnsi="宋体"/>
                <w:szCs w:val="21"/>
              </w:rPr>
              <w:t>（1）投标人具备有效的营业执照</w:t>
            </w:r>
            <w:r>
              <w:rPr>
                <w:rFonts w:hint="eastAsia" w:ascii="宋体" w:hAnsi="宋体"/>
                <w:szCs w:val="21"/>
                <w:lang w:val="en-US" w:eastAsia="zh-CN"/>
              </w:rPr>
              <w:t>或</w:t>
            </w:r>
            <w:r>
              <w:rPr>
                <w:rFonts w:hint="eastAsia"/>
                <w:lang w:val="en-US" w:eastAsia="zh-CN"/>
              </w:rPr>
              <w:t>事业单位法人登记证书</w:t>
            </w:r>
            <w:r>
              <w:rPr>
                <w:rFonts w:hint="eastAsia" w:ascii="宋体" w:hAnsi="宋体"/>
                <w:szCs w:val="21"/>
              </w:rPr>
              <w:t>、基本账户开户许可证（或基本存款账户信息）；</w:t>
            </w:r>
          </w:p>
          <w:p w14:paraId="756AD8E5">
            <w:pPr>
              <w:keepNext w:val="0"/>
              <w:keepLines w:val="0"/>
              <w:suppressLineNumbers w:val="0"/>
              <w:tabs>
                <w:tab w:val="left" w:pos="3060"/>
              </w:tabs>
              <w:spacing w:before="0" w:beforeAutospacing="0" w:after="0" w:afterAutospacing="0" w:line="320" w:lineRule="exact"/>
              <w:ind w:left="0" w:right="0" w:firstLine="105" w:firstLineChars="50"/>
              <w:rPr>
                <w:rFonts w:hint="eastAsia"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）投标人的类似项目业绩符合招标文件规定；</w:t>
            </w:r>
          </w:p>
          <w:p w14:paraId="1AD5094C">
            <w:pPr>
              <w:keepNext w:val="0"/>
              <w:keepLines w:val="0"/>
              <w:suppressLineNumbers w:val="0"/>
              <w:tabs>
                <w:tab w:val="left" w:pos="3060"/>
              </w:tabs>
              <w:spacing w:before="0" w:beforeAutospacing="0" w:after="0" w:afterAutospacing="0" w:line="320" w:lineRule="exact"/>
              <w:ind w:left="0" w:right="0" w:firstLine="105" w:firstLineChars="50"/>
              <w:rPr>
                <w:rFonts w:hint="eastAsia"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）投标人的信誉符合招标文件规定；</w:t>
            </w:r>
          </w:p>
          <w:p w14:paraId="169E53DB">
            <w:pPr>
              <w:keepNext w:val="0"/>
              <w:keepLines w:val="0"/>
              <w:suppressLineNumbers w:val="0"/>
              <w:tabs>
                <w:tab w:val="left" w:pos="3060"/>
              </w:tabs>
              <w:spacing w:before="0" w:beforeAutospacing="0" w:after="0" w:afterAutospacing="0" w:line="320" w:lineRule="exact"/>
              <w:ind w:left="0" w:right="0" w:firstLine="105" w:firstLineChars="50"/>
              <w:rPr>
                <w:rFonts w:hint="eastAsia" w:ascii="宋体" w:hAnsi="宋体"/>
                <w:szCs w:val="21"/>
              </w:rPr>
            </w:pPr>
            <w:r>
              <w:rPr>
                <w:rFonts w:hint="eastAsia" w:ascii="宋体" w:hAnsi="宋体"/>
                <w:szCs w:val="21"/>
              </w:rPr>
              <w:t>（</w:t>
            </w:r>
            <w:r>
              <w:rPr>
                <w:rFonts w:hint="eastAsia" w:ascii="宋体" w:hAnsi="宋体"/>
                <w:szCs w:val="21"/>
                <w:lang w:val="en-US" w:eastAsia="zh-CN"/>
              </w:rPr>
              <w:t>4</w:t>
            </w:r>
            <w:r>
              <w:rPr>
                <w:rFonts w:hint="eastAsia" w:ascii="宋体" w:hAnsi="宋体"/>
                <w:szCs w:val="21"/>
              </w:rPr>
              <w:t>）投标人的</w:t>
            </w:r>
            <w:r>
              <w:rPr>
                <w:rFonts w:hint="eastAsia" w:ascii="宋体" w:hAnsi="宋体"/>
                <w:szCs w:val="21"/>
                <w:lang w:eastAsia="zh-CN"/>
              </w:rPr>
              <w:t>主要人员资格</w:t>
            </w:r>
            <w:r>
              <w:rPr>
                <w:rFonts w:hint="eastAsia" w:ascii="宋体" w:hAnsi="宋体"/>
                <w:szCs w:val="21"/>
              </w:rPr>
              <w:t xml:space="preserve">符合招标文件规定； </w:t>
            </w:r>
          </w:p>
          <w:p w14:paraId="057CD041">
            <w:pPr>
              <w:keepNext w:val="0"/>
              <w:keepLines w:val="0"/>
              <w:suppressLineNumbers w:val="0"/>
              <w:tabs>
                <w:tab w:val="left" w:pos="3060"/>
              </w:tabs>
              <w:spacing w:before="0" w:beforeAutospacing="0" w:after="0" w:afterAutospacing="0" w:line="320" w:lineRule="exact"/>
              <w:ind w:left="0" w:right="0" w:firstLine="105" w:firstLineChars="50"/>
              <w:rPr>
                <w:rFonts w:hint="eastAsia"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）投标人不存在第二章“投标人须知”第1.4.3项或第1.4.4项规定的任何一种情形。</w:t>
            </w:r>
          </w:p>
        </w:tc>
      </w:tr>
      <w:tr w14:paraId="082EE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trPr>
        <w:tc>
          <w:tcPr>
            <w:tcW w:w="424" w:type="pct"/>
            <w:vAlign w:val="center"/>
          </w:tcPr>
          <w:p w14:paraId="55BDF649">
            <w:pPr>
              <w:keepNext w:val="0"/>
              <w:keepLines w:val="0"/>
              <w:suppressLineNumbers w:val="0"/>
              <w:spacing w:before="0" w:beforeAutospacing="0" w:after="0" w:afterAutospacing="0"/>
              <w:ind w:left="0" w:right="0"/>
              <w:jc w:val="center"/>
              <w:rPr>
                <w:rFonts w:hint="eastAsia" w:ascii="宋体" w:hAnsi="宋体"/>
              </w:rPr>
            </w:pPr>
            <w:r>
              <w:rPr>
                <w:rFonts w:hint="default" w:ascii="宋体" w:hAnsi="宋体"/>
              </w:rPr>
              <w:t>2.2.1</w:t>
            </w:r>
          </w:p>
        </w:tc>
        <w:tc>
          <w:tcPr>
            <w:tcW w:w="593" w:type="pct"/>
            <w:vAlign w:val="center"/>
          </w:tcPr>
          <w:p w14:paraId="57310753">
            <w:pPr>
              <w:keepNext w:val="0"/>
              <w:keepLines w:val="0"/>
              <w:suppressLineNumbers w:val="0"/>
              <w:spacing w:before="0" w:beforeAutospacing="0" w:after="0" w:afterAutospacing="0"/>
              <w:ind w:left="0" w:leftChars="0" w:right="0" w:rightChars="0"/>
              <w:jc w:val="center"/>
              <w:rPr>
                <w:rFonts w:hint="eastAsia" w:ascii="宋体" w:hAnsi="宋体"/>
              </w:rPr>
            </w:pPr>
            <w:r>
              <w:rPr>
                <w:rFonts w:hint="eastAsia" w:ascii="宋体" w:hAnsi="宋体"/>
              </w:rPr>
              <w:t>分值构成（总分100分）</w:t>
            </w:r>
          </w:p>
        </w:tc>
        <w:tc>
          <w:tcPr>
            <w:tcW w:w="3982" w:type="pct"/>
            <w:vAlign w:val="center"/>
          </w:tcPr>
          <w:p w14:paraId="55829295">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第一信封（商务及技术文件）</w:t>
            </w:r>
          </w:p>
          <w:p w14:paraId="49077491">
            <w:pPr>
              <w:keepNext w:val="0"/>
              <w:keepLines w:val="0"/>
              <w:suppressLineNumbers w:val="0"/>
              <w:spacing w:before="0" w:beforeAutospacing="0" w:after="0" w:afterAutospacing="0"/>
              <w:ind w:left="0" w:right="0"/>
              <w:rPr>
                <w:rFonts w:hint="default" w:ascii="宋体" w:hAnsi="宋体" w:cs="宋体"/>
                <w:szCs w:val="21"/>
              </w:rPr>
            </w:pPr>
            <w:r>
              <w:rPr>
                <w:rFonts w:hint="default" w:ascii="宋体" w:hAnsi="宋体" w:cs="宋体"/>
                <w:szCs w:val="21"/>
              </w:rPr>
              <w:t>技术</w:t>
            </w:r>
            <w:r>
              <w:rPr>
                <w:rFonts w:hint="eastAsia" w:ascii="宋体" w:hAnsi="宋体" w:cs="宋体"/>
                <w:szCs w:val="21"/>
                <w:lang w:eastAsia="zh-CN"/>
              </w:rPr>
              <w:t>部分</w:t>
            </w:r>
            <w:r>
              <w:rPr>
                <w:rFonts w:hint="eastAsia" w:ascii="宋体" w:hAnsi="宋体" w:cs="宋体"/>
                <w:szCs w:val="21"/>
                <w:lang w:val="en-US" w:eastAsia="zh-CN"/>
              </w:rPr>
              <w:t>(暗标)</w:t>
            </w:r>
            <w:r>
              <w:rPr>
                <w:rFonts w:hint="default" w:ascii="宋体" w:hAnsi="宋体" w:cs="宋体"/>
                <w:szCs w:val="21"/>
              </w:rPr>
              <w:t>（</w:t>
            </w:r>
            <w:r>
              <w:rPr>
                <w:rFonts w:hint="eastAsia" w:ascii="宋体" w:hAnsi="宋体" w:cs="宋体"/>
                <w:szCs w:val="21"/>
                <w:lang w:val="en-US" w:eastAsia="zh-CN"/>
              </w:rPr>
              <w:t>20</w:t>
            </w:r>
            <w:r>
              <w:rPr>
                <w:rFonts w:hint="default" w:ascii="宋体" w:hAnsi="宋体" w:cs="宋体"/>
                <w:szCs w:val="21"/>
              </w:rPr>
              <w:t>分）</w:t>
            </w:r>
          </w:p>
          <w:p w14:paraId="367D9E79">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lang w:eastAsia="zh-CN"/>
              </w:rPr>
              <w:t>项目人员</w:t>
            </w:r>
            <w:r>
              <w:rPr>
                <w:rFonts w:hint="default" w:ascii="宋体" w:hAnsi="宋体" w:cs="宋体"/>
                <w:szCs w:val="21"/>
              </w:rPr>
              <w:t>（</w:t>
            </w:r>
            <w:r>
              <w:rPr>
                <w:rFonts w:hint="eastAsia" w:ascii="宋体" w:hAnsi="宋体" w:cs="宋体"/>
                <w:szCs w:val="21"/>
                <w:lang w:eastAsia="zh"/>
              </w:rPr>
              <w:t>35</w:t>
            </w:r>
            <w:r>
              <w:rPr>
                <w:rFonts w:hint="default" w:ascii="宋体" w:hAnsi="宋体" w:cs="宋体"/>
                <w:szCs w:val="21"/>
              </w:rPr>
              <w:t>分）</w:t>
            </w:r>
          </w:p>
          <w:p w14:paraId="216FE644">
            <w:pPr>
              <w:keepNext w:val="0"/>
              <w:keepLines w:val="0"/>
              <w:suppressLineNumbers w:val="0"/>
              <w:spacing w:before="0" w:beforeAutospacing="0" w:after="0" w:afterAutospacing="0"/>
              <w:ind w:left="0" w:right="0"/>
              <w:rPr>
                <w:rFonts w:hint="eastAsia" w:ascii="宋体" w:hAnsi="宋体" w:eastAsia="宋体" w:cs="宋体"/>
                <w:szCs w:val="21"/>
                <w:lang w:eastAsia="zh-CN"/>
              </w:rPr>
            </w:pPr>
            <w:r>
              <w:rPr>
                <w:rFonts w:hint="eastAsia" w:ascii="宋体" w:hAnsi="宋体" w:cs="宋体"/>
                <w:szCs w:val="21"/>
                <w:lang w:eastAsia="zh"/>
              </w:rPr>
              <w:t>企业业绩</w:t>
            </w:r>
            <w:r>
              <w:rPr>
                <w:rFonts w:hint="eastAsia" w:ascii="宋体" w:hAnsi="宋体" w:cs="宋体"/>
                <w:szCs w:val="21"/>
                <w:lang w:eastAsia="zh-CN"/>
              </w:rPr>
              <w:t>（</w:t>
            </w:r>
            <w:r>
              <w:rPr>
                <w:rFonts w:hint="eastAsia" w:ascii="宋体" w:hAnsi="宋体" w:cs="宋体"/>
                <w:szCs w:val="21"/>
                <w:lang w:val="en-US" w:eastAsia="zh-CN"/>
              </w:rPr>
              <w:t>30分</w:t>
            </w:r>
            <w:r>
              <w:rPr>
                <w:rFonts w:hint="eastAsia" w:ascii="宋体" w:hAnsi="宋体" w:cs="宋体"/>
                <w:szCs w:val="21"/>
                <w:lang w:eastAsia="zh-CN"/>
              </w:rPr>
              <w:t>）</w:t>
            </w:r>
          </w:p>
          <w:p w14:paraId="0EF85D8D">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第二信封（报价文件）</w:t>
            </w:r>
          </w:p>
          <w:p w14:paraId="66ABCDA8">
            <w:pPr>
              <w:keepNext w:val="0"/>
              <w:keepLines w:val="0"/>
              <w:suppressLineNumbers w:val="0"/>
              <w:spacing w:before="0" w:beforeAutospacing="0" w:after="0" w:afterAutospacing="0"/>
              <w:ind w:left="0" w:leftChars="0" w:right="0" w:rightChars="0"/>
              <w:rPr>
                <w:rFonts w:hint="eastAsia" w:ascii="宋体" w:hAnsi="宋体"/>
                <w:b/>
              </w:rPr>
            </w:pPr>
            <w:r>
              <w:rPr>
                <w:rFonts w:hint="eastAsia" w:ascii="宋体" w:hAnsi="宋体" w:cs="宋体"/>
                <w:szCs w:val="21"/>
              </w:rPr>
              <w:t>报价部分（1</w:t>
            </w:r>
            <w:r>
              <w:rPr>
                <w:rFonts w:hint="eastAsia" w:ascii="宋体" w:hAnsi="宋体" w:cs="宋体"/>
                <w:szCs w:val="21"/>
                <w:lang w:val="en-US" w:eastAsia="zh-CN"/>
              </w:rPr>
              <w:t>5</w:t>
            </w:r>
            <w:r>
              <w:rPr>
                <w:rFonts w:hint="eastAsia" w:ascii="宋体" w:hAnsi="宋体" w:cs="宋体"/>
                <w:szCs w:val="21"/>
              </w:rPr>
              <w:t>分）</w:t>
            </w:r>
          </w:p>
        </w:tc>
      </w:tr>
      <w:tr w14:paraId="6B285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14:paraId="7D83D42C">
            <w:pPr>
              <w:keepNext w:val="0"/>
              <w:keepLines w:val="0"/>
              <w:suppressLineNumbers w:val="0"/>
              <w:spacing w:before="0" w:beforeAutospacing="0" w:after="0" w:afterAutospacing="0"/>
              <w:ind w:left="0" w:right="0"/>
              <w:jc w:val="center"/>
              <w:rPr>
                <w:rFonts w:hint="eastAsia" w:ascii="宋体" w:hAnsi="宋体"/>
              </w:rPr>
            </w:pPr>
            <w:r>
              <w:rPr>
                <w:rFonts w:hint="default" w:ascii="宋体" w:hAnsi="宋体"/>
              </w:rPr>
              <w:t>2.2.2</w:t>
            </w:r>
          </w:p>
        </w:tc>
        <w:tc>
          <w:tcPr>
            <w:tcW w:w="593" w:type="pct"/>
            <w:vAlign w:val="center"/>
          </w:tcPr>
          <w:p w14:paraId="6466B10B">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highlight w:val="none"/>
              </w:rPr>
              <w:t>评标基准价计算方法</w:t>
            </w:r>
          </w:p>
        </w:tc>
        <w:tc>
          <w:tcPr>
            <w:tcW w:w="3982" w:type="pct"/>
            <w:vAlign w:val="center"/>
          </w:tcPr>
          <w:p w14:paraId="4C5EC465">
            <w:pPr>
              <w:keepNext w:val="0"/>
              <w:keepLines w:val="0"/>
              <w:suppressLineNumbers w:val="0"/>
              <w:snapToGrid w:val="0"/>
              <w:spacing w:before="0" w:beforeAutospacing="0" w:after="0" w:afterAutospacing="0" w:line="320" w:lineRule="exact"/>
              <w:ind w:left="0" w:right="0"/>
              <w:jc w:val="left"/>
              <w:rPr>
                <w:rFonts w:hint="eastAsia" w:ascii="宋体" w:hAnsi="宋体"/>
                <w:b/>
              </w:rPr>
            </w:pPr>
            <w:r>
              <w:rPr>
                <w:rFonts w:hint="eastAsia" w:ascii="宋体" w:hAnsi="宋体"/>
                <w:b/>
              </w:rPr>
              <w:t>评标基准价的计算：</w:t>
            </w:r>
          </w:p>
          <w:p w14:paraId="5560B2DE">
            <w:pPr>
              <w:keepNext w:val="0"/>
              <w:keepLines w:val="0"/>
              <w:suppressLineNumbers w:val="0"/>
              <w:autoSpaceDE w:val="0"/>
              <w:autoSpaceDN w:val="0"/>
              <w:spacing w:before="0" w:beforeAutospacing="0" w:after="0" w:afterAutospacing="0" w:line="273" w:lineRule="auto"/>
              <w:ind w:left="0" w:right="0" w:firstLine="420" w:firstLineChars="200"/>
              <w:rPr>
                <w:rFonts w:hint="eastAsia" w:ascii="宋体" w:hAnsi="宋体"/>
              </w:rPr>
            </w:pPr>
            <w:r>
              <w:rPr>
                <w:rFonts w:hint="eastAsia" w:ascii="宋体" w:hAnsi="宋体"/>
              </w:rPr>
              <w:t>评标基准价的计算：</w:t>
            </w:r>
          </w:p>
          <w:p w14:paraId="2B9178A6">
            <w:pPr>
              <w:keepNext w:val="0"/>
              <w:keepLines w:val="0"/>
              <w:suppressLineNumbers w:val="0"/>
              <w:autoSpaceDE w:val="0"/>
              <w:autoSpaceDN w:val="0"/>
              <w:spacing w:before="0" w:beforeAutospacing="0" w:after="0" w:afterAutospacing="0" w:line="273" w:lineRule="auto"/>
              <w:ind w:left="0" w:right="0" w:firstLine="420" w:firstLineChars="200"/>
              <w:rPr>
                <w:rFonts w:hint="eastAsia" w:ascii="宋体" w:hAnsi="宋体"/>
              </w:rPr>
            </w:pPr>
            <w:r>
              <w:rPr>
                <w:rFonts w:hint="eastAsia" w:ascii="宋体" w:hAnsi="宋体"/>
              </w:rPr>
              <w:t>在第二个信封开标现场，招标人将按照第一信封开标现场抽取的评标基准价的计算方法当场计算并宣布评标基准价。</w:t>
            </w:r>
          </w:p>
          <w:p w14:paraId="323DA770">
            <w:pPr>
              <w:keepNext w:val="0"/>
              <w:keepLines w:val="0"/>
              <w:suppressLineNumbers w:val="0"/>
              <w:autoSpaceDE w:val="0"/>
              <w:autoSpaceDN w:val="0"/>
              <w:spacing w:before="0" w:beforeAutospacing="0" w:after="0" w:afterAutospacing="0" w:line="273" w:lineRule="auto"/>
              <w:ind w:left="0" w:right="0" w:firstLine="420" w:firstLineChars="200"/>
              <w:rPr>
                <w:rFonts w:hint="eastAsia" w:ascii="宋体" w:hAnsi="宋体"/>
              </w:rPr>
            </w:pPr>
            <w:r>
              <w:rPr>
                <w:rFonts w:hint="eastAsia" w:ascii="宋体" w:hAnsi="宋体"/>
              </w:rPr>
              <w:t>（1）评标价的确定：</w:t>
            </w:r>
          </w:p>
          <w:p w14:paraId="057E10FE">
            <w:pPr>
              <w:keepNext w:val="0"/>
              <w:keepLines w:val="0"/>
              <w:suppressLineNumbers w:val="0"/>
              <w:autoSpaceDE w:val="0"/>
              <w:autoSpaceDN w:val="0"/>
              <w:spacing w:before="0" w:beforeAutospacing="0" w:after="0" w:afterAutospacing="0" w:line="273" w:lineRule="auto"/>
              <w:ind w:left="0" w:right="0" w:firstLine="420" w:firstLineChars="200"/>
              <w:rPr>
                <w:rFonts w:hint="eastAsia" w:ascii="宋体" w:hAnsi="宋体"/>
              </w:rPr>
            </w:pPr>
            <w:r>
              <w:rPr>
                <w:rFonts w:hint="eastAsia" w:ascii="宋体" w:hAnsi="宋体"/>
              </w:rPr>
              <w:t>评标价=投标函文字报价</w:t>
            </w:r>
          </w:p>
          <w:p w14:paraId="3A40C6FD">
            <w:pPr>
              <w:keepNext w:val="0"/>
              <w:keepLines w:val="0"/>
              <w:suppressLineNumbers w:val="0"/>
              <w:autoSpaceDE w:val="0"/>
              <w:autoSpaceDN w:val="0"/>
              <w:spacing w:before="0" w:beforeAutospacing="0" w:after="0" w:afterAutospacing="0" w:line="273" w:lineRule="auto"/>
              <w:ind w:left="0" w:right="0" w:firstLine="420" w:firstLineChars="200"/>
              <w:rPr>
                <w:rFonts w:hint="eastAsia" w:ascii="宋体" w:hAnsi="宋体"/>
              </w:rPr>
            </w:pPr>
            <w:r>
              <w:rPr>
                <w:rFonts w:hint="eastAsia" w:ascii="宋体" w:hAnsi="宋体"/>
              </w:rPr>
              <w:t>（2）评标价平均值的计算：</w:t>
            </w:r>
          </w:p>
          <w:p w14:paraId="2E279D0B">
            <w:pPr>
              <w:keepNext w:val="0"/>
              <w:keepLines w:val="0"/>
              <w:suppressLineNumbers w:val="0"/>
              <w:autoSpaceDE w:val="0"/>
              <w:autoSpaceDN w:val="0"/>
              <w:spacing w:before="0" w:beforeAutospacing="0" w:after="0" w:afterAutospacing="0" w:line="273" w:lineRule="auto"/>
              <w:ind w:left="0" w:right="0" w:firstLine="420" w:firstLineChars="200"/>
              <w:rPr>
                <w:rFonts w:hint="eastAsia" w:ascii="宋体" w:hAnsi="宋体"/>
              </w:rPr>
            </w:pPr>
            <w:r>
              <w:rPr>
                <w:rFonts w:hint="eastAsia" w:ascii="宋体" w:hAnsi="宋体"/>
              </w:rPr>
              <w:t>除按第二章“投标人须知”第5.2.4项规定开标现场被宣布为不进入评标基准价计算的投标报价之外，所有投标人的评标价去掉n1个最高评标价和n2个最低评标价后的算术平均值即为评标价平均值：</w:t>
            </w:r>
          </w:p>
          <w:p w14:paraId="0BC7AF13">
            <w:pPr>
              <w:keepNext w:val="0"/>
              <w:keepLines w:val="0"/>
              <w:suppressLineNumbers w:val="0"/>
              <w:autoSpaceDE w:val="0"/>
              <w:autoSpaceDN w:val="0"/>
              <w:spacing w:before="0" w:beforeAutospacing="0" w:after="0" w:afterAutospacing="0" w:line="273" w:lineRule="auto"/>
              <w:ind w:left="0" w:right="0" w:firstLine="420" w:firstLineChars="200"/>
              <w:rPr>
                <w:rFonts w:hint="eastAsia" w:ascii="宋体" w:hAnsi="宋体"/>
              </w:rPr>
            </w:pPr>
            <w:r>
              <w:rPr>
                <w:rFonts w:hint="eastAsia" w:ascii="宋体" w:hAnsi="宋体"/>
              </w:rPr>
              <w:t>如果参与评标价平均值计算的投标人数量＜6家时，n1=0，n2=0；</w:t>
            </w:r>
          </w:p>
          <w:p w14:paraId="652F01BB">
            <w:pPr>
              <w:keepNext w:val="0"/>
              <w:keepLines w:val="0"/>
              <w:suppressLineNumbers w:val="0"/>
              <w:autoSpaceDE w:val="0"/>
              <w:autoSpaceDN w:val="0"/>
              <w:spacing w:before="0" w:beforeAutospacing="0" w:after="0" w:afterAutospacing="0" w:line="273" w:lineRule="auto"/>
              <w:ind w:left="0" w:right="0" w:firstLine="420" w:firstLineChars="200"/>
              <w:rPr>
                <w:rFonts w:hint="eastAsia" w:ascii="宋体" w:hAnsi="宋体"/>
              </w:rPr>
            </w:pPr>
            <w:r>
              <w:rPr>
                <w:rFonts w:hint="eastAsia" w:ascii="宋体" w:hAnsi="宋体"/>
              </w:rPr>
              <w:t>6家≤参与评标价平均值计算的投标人数量＜10家时，n1=1，n2=1；</w:t>
            </w:r>
          </w:p>
          <w:p w14:paraId="5432C31F">
            <w:pPr>
              <w:keepNext w:val="0"/>
              <w:keepLines w:val="0"/>
              <w:suppressLineNumbers w:val="0"/>
              <w:autoSpaceDE w:val="0"/>
              <w:autoSpaceDN w:val="0"/>
              <w:spacing w:before="0" w:beforeAutospacing="0" w:after="0" w:afterAutospacing="0" w:line="273" w:lineRule="auto"/>
              <w:ind w:left="0" w:right="0" w:firstLine="420" w:firstLineChars="200"/>
              <w:rPr>
                <w:rFonts w:hint="eastAsia" w:ascii="宋体" w:hAnsi="宋体"/>
              </w:rPr>
            </w:pPr>
            <w:r>
              <w:rPr>
                <w:rFonts w:hint="eastAsia" w:ascii="宋体" w:hAnsi="宋体"/>
              </w:rPr>
              <w:t>10家≤参与评标价平均值计算的投标人数量＜20家时，n1=2，n2=2；</w:t>
            </w:r>
          </w:p>
          <w:p w14:paraId="30686478">
            <w:pPr>
              <w:keepNext w:val="0"/>
              <w:keepLines w:val="0"/>
              <w:suppressLineNumbers w:val="0"/>
              <w:autoSpaceDE w:val="0"/>
              <w:autoSpaceDN w:val="0"/>
              <w:spacing w:before="0" w:beforeAutospacing="0" w:after="0" w:afterAutospacing="0" w:line="273" w:lineRule="auto"/>
              <w:ind w:left="0" w:right="0" w:firstLine="420" w:firstLineChars="200"/>
              <w:rPr>
                <w:rFonts w:hint="eastAsia" w:ascii="宋体" w:hAnsi="宋体"/>
              </w:rPr>
            </w:pPr>
            <w:r>
              <w:rPr>
                <w:rFonts w:hint="eastAsia" w:ascii="宋体" w:hAnsi="宋体"/>
              </w:rPr>
              <w:t>20家≤参与评标价平均值计算的投标人数量＜30家时，n1=3，n2=3；</w:t>
            </w:r>
          </w:p>
          <w:p w14:paraId="57C5C411">
            <w:pPr>
              <w:keepNext w:val="0"/>
              <w:keepLines w:val="0"/>
              <w:suppressLineNumbers w:val="0"/>
              <w:autoSpaceDE w:val="0"/>
              <w:autoSpaceDN w:val="0"/>
              <w:spacing w:before="0" w:beforeAutospacing="0" w:after="0" w:afterAutospacing="0" w:line="273" w:lineRule="auto"/>
              <w:ind w:left="0" w:right="0" w:firstLine="420" w:firstLineChars="200"/>
              <w:rPr>
                <w:rFonts w:hint="eastAsia" w:ascii="宋体" w:hAnsi="宋体"/>
              </w:rPr>
            </w:pPr>
            <w:r>
              <w:rPr>
                <w:rFonts w:hint="eastAsia" w:ascii="宋体" w:hAnsi="宋体"/>
              </w:rPr>
              <w:t>参与评标价平均值计算的投标人数量≥30家时，n1=4，n2=4；</w:t>
            </w:r>
          </w:p>
          <w:p w14:paraId="48E4AEC6">
            <w:pPr>
              <w:keepNext w:val="0"/>
              <w:keepLines w:val="0"/>
              <w:suppressLineNumbers w:val="0"/>
              <w:autoSpaceDE w:val="0"/>
              <w:autoSpaceDN w:val="0"/>
              <w:spacing w:before="0" w:beforeAutospacing="0" w:after="0" w:afterAutospacing="0" w:line="273" w:lineRule="auto"/>
              <w:ind w:left="0" w:right="0" w:firstLine="420" w:firstLineChars="200"/>
              <w:rPr>
                <w:rFonts w:hint="eastAsia" w:ascii="宋体" w:hAnsi="宋体"/>
              </w:rPr>
            </w:pPr>
            <w:r>
              <w:rPr>
                <w:rFonts w:hint="eastAsia" w:ascii="宋体" w:hAnsi="宋体"/>
              </w:rPr>
              <w:t>（3）评标基准价的确定：</w:t>
            </w:r>
          </w:p>
          <w:p w14:paraId="40589607">
            <w:pPr>
              <w:keepNext w:val="0"/>
              <w:keepLines w:val="0"/>
              <w:suppressLineNumbers w:val="0"/>
              <w:autoSpaceDE w:val="0"/>
              <w:autoSpaceDN w:val="0"/>
              <w:spacing w:before="0" w:beforeAutospacing="0" w:after="0" w:afterAutospacing="0" w:line="273" w:lineRule="auto"/>
              <w:ind w:left="0" w:right="0" w:firstLine="420" w:firstLineChars="200"/>
              <w:rPr>
                <w:rFonts w:hint="eastAsia" w:ascii="宋体" w:hAnsi="宋体"/>
              </w:rPr>
            </w:pPr>
            <w:r>
              <w:rPr>
                <w:rFonts w:hint="eastAsia" w:ascii="宋体" w:hAnsi="宋体"/>
              </w:rPr>
              <w:t>采取随机抽取的方式从下列方法中确定评标基准价的计算方法：</w:t>
            </w:r>
          </w:p>
          <w:p w14:paraId="1FC822E9">
            <w:pPr>
              <w:keepNext w:val="0"/>
              <w:keepLines w:val="0"/>
              <w:suppressLineNumbers w:val="0"/>
              <w:autoSpaceDE w:val="0"/>
              <w:autoSpaceDN w:val="0"/>
              <w:spacing w:before="0" w:beforeAutospacing="0" w:after="0" w:afterAutospacing="0" w:line="273" w:lineRule="auto"/>
              <w:ind w:left="0" w:right="0" w:firstLine="420" w:firstLineChars="200"/>
              <w:rPr>
                <w:rFonts w:hint="eastAsia" w:ascii="宋体" w:hAnsi="宋体"/>
              </w:rPr>
            </w:pPr>
            <w:r>
              <w:rPr>
                <w:rFonts w:hint="eastAsia" w:ascii="宋体" w:hAnsi="宋体"/>
              </w:rPr>
              <w:t>方法一：评标价平均值直接作为评标基准价P。</w:t>
            </w:r>
          </w:p>
          <w:p w14:paraId="533B0A22">
            <w:pPr>
              <w:keepNext w:val="0"/>
              <w:keepLines w:val="0"/>
              <w:suppressLineNumbers w:val="0"/>
              <w:autoSpaceDE w:val="0"/>
              <w:autoSpaceDN w:val="0"/>
              <w:spacing w:before="0" w:beforeAutospacing="0" w:after="0" w:afterAutospacing="0" w:line="273" w:lineRule="auto"/>
              <w:ind w:left="0" w:right="0" w:firstLine="420" w:firstLineChars="200"/>
              <w:rPr>
                <w:rFonts w:hint="eastAsia" w:ascii="宋体" w:hAnsi="宋体"/>
              </w:rPr>
            </w:pPr>
            <w:r>
              <w:rPr>
                <w:rFonts w:hint="eastAsia" w:ascii="宋体" w:hAnsi="宋体"/>
              </w:rPr>
              <w:t>方法二：评标价平均值乘以评标基准价系数K，作为评标基准价P。评标基准价系数K取值范围为</w:t>
            </w:r>
            <w:r>
              <w:rPr>
                <w:rFonts w:hint="eastAsia" w:ascii="宋体" w:hAnsi="宋体"/>
                <w:lang w:val="en-US" w:eastAsia="zh-CN"/>
              </w:rPr>
              <w:t>0.975、</w:t>
            </w:r>
            <w:r>
              <w:rPr>
                <w:rFonts w:hint="eastAsia" w:ascii="宋体" w:hAnsi="宋体"/>
              </w:rPr>
              <w:t>0.980、0.985、0.990、0.995，在开标现场随机抽取确定。</w:t>
            </w:r>
          </w:p>
          <w:p w14:paraId="0E821D2E">
            <w:pPr>
              <w:keepNext w:val="0"/>
              <w:keepLines w:val="0"/>
              <w:suppressLineNumbers w:val="0"/>
              <w:autoSpaceDE w:val="0"/>
              <w:autoSpaceDN w:val="0"/>
              <w:spacing w:before="0" w:beforeAutospacing="0" w:after="0" w:afterAutospacing="0" w:line="273" w:lineRule="auto"/>
              <w:ind w:left="0" w:right="0" w:firstLine="420" w:firstLineChars="200"/>
              <w:rPr>
                <w:rFonts w:hint="eastAsia" w:ascii="宋体" w:hAnsi="宋体"/>
              </w:rPr>
            </w:pPr>
            <w:r>
              <w:rPr>
                <w:rFonts w:hint="eastAsia" w:ascii="宋体" w:hAnsi="宋体"/>
              </w:rPr>
              <w:t>方法三：评标价平均值与投标人报价的中位数的平均值作为评标基准价P。</w:t>
            </w:r>
          </w:p>
          <w:p w14:paraId="338B77EC">
            <w:pPr>
              <w:keepNext w:val="0"/>
              <w:keepLines w:val="0"/>
              <w:suppressLineNumbers w:val="0"/>
              <w:autoSpaceDE w:val="0"/>
              <w:autoSpaceDN w:val="0"/>
              <w:spacing w:before="0" w:beforeAutospacing="0" w:after="0" w:afterAutospacing="0" w:line="273" w:lineRule="auto"/>
              <w:ind w:left="0" w:right="0" w:firstLine="420" w:firstLineChars="200"/>
              <w:rPr>
                <w:rFonts w:hint="eastAsia" w:ascii="宋体" w:hAnsi="宋体"/>
              </w:rPr>
            </w:pPr>
            <w:r>
              <w:rPr>
                <w:rFonts w:hint="eastAsia" w:ascii="宋体" w:hAnsi="宋体"/>
              </w:rPr>
              <w:t>中位数：把所有评标价按高低排序后找出正中间的一个作为中位数。如果评标价为偶数个，取最中间的两个数值的平均值作为中位数。</w:t>
            </w:r>
          </w:p>
          <w:p w14:paraId="1DB55CE3">
            <w:pPr>
              <w:keepNext w:val="0"/>
              <w:keepLines w:val="0"/>
              <w:suppressLineNumbers w:val="0"/>
              <w:autoSpaceDE w:val="0"/>
              <w:autoSpaceDN w:val="0"/>
              <w:spacing w:before="0" w:beforeAutospacing="0" w:after="0" w:afterAutospacing="0" w:line="273" w:lineRule="auto"/>
              <w:ind w:left="0" w:right="0" w:firstLine="420" w:firstLineChars="200"/>
              <w:rPr>
                <w:rFonts w:hint="eastAsia" w:ascii="宋体" w:hAnsi="宋体"/>
              </w:rPr>
            </w:pPr>
            <w:r>
              <w:rPr>
                <w:rFonts w:hint="eastAsia" w:ascii="宋体" w:hAnsi="宋体"/>
              </w:rPr>
              <w:t>在评标过程中，评标委员会应对招标人计算的评标基准价进行复核，存在计算错误的应予以修正并在评标报告中作出说明。除此之外，评标基准价在整个评标期间保持不变，不随任何因素发生变化。</w:t>
            </w:r>
          </w:p>
          <w:p w14:paraId="0354F816">
            <w:pPr>
              <w:keepNext w:val="0"/>
              <w:keepLines w:val="0"/>
              <w:suppressLineNumbers w:val="0"/>
              <w:autoSpaceDE w:val="0"/>
              <w:autoSpaceDN w:val="0"/>
              <w:spacing w:before="0" w:beforeAutospacing="0" w:after="0" w:afterAutospacing="0" w:line="273" w:lineRule="auto"/>
              <w:ind w:left="0" w:right="0" w:firstLine="420" w:firstLineChars="200"/>
              <w:rPr>
                <w:rFonts w:hint="eastAsia" w:ascii="宋体" w:hAnsi="宋体"/>
              </w:rPr>
            </w:pPr>
            <w:r>
              <w:rPr>
                <w:rFonts w:hint="eastAsia" w:ascii="宋体" w:hAnsi="宋体"/>
              </w:rPr>
              <w:t>评标基准价保留小数点后两位，小数点后第三位四舍五入。</w:t>
            </w:r>
          </w:p>
        </w:tc>
      </w:tr>
      <w:tr w14:paraId="32F6F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14:paraId="2AA1AF0B">
            <w:pPr>
              <w:keepNext w:val="0"/>
              <w:keepLines w:val="0"/>
              <w:suppressLineNumbers w:val="0"/>
              <w:spacing w:before="0" w:beforeAutospacing="0" w:after="0" w:afterAutospacing="0"/>
              <w:ind w:left="0" w:right="0"/>
              <w:jc w:val="center"/>
              <w:rPr>
                <w:rFonts w:hint="eastAsia" w:ascii="宋体" w:hAnsi="宋体"/>
              </w:rPr>
            </w:pPr>
            <w:r>
              <w:rPr>
                <w:rFonts w:hint="default" w:ascii="宋体" w:hAnsi="宋体"/>
              </w:rPr>
              <w:t>2.2.3</w:t>
            </w:r>
          </w:p>
        </w:tc>
        <w:tc>
          <w:tcPr>
            <w:tcW w:w="593" w:type="pct"/>
            <w:vAlign w:val="center"/>
          </w:tcPr>
          <w:p w14:paraId="61A4894B">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评标价的偏差率计算公式</w:t>
            </w:r>
          </w:p>
        </w:tc>
        <w:tc>
          <w:tcPr>
            <w:tcW w:w="3982" w:type="pct"/>
            <w:vAlign w:val="center"/>
          </w:tcPr>
          <w:p w14:paraId="38067BF6">
            <w:pPr>
              <w:keepNext w:val="0"/>
              <w:keepLines w:val="0"/>
              <w:suppressLineNumbers w:val="0"/>
              <w:spacing w:before="0" w:beforeAutospacing="0" w:after="0" w:afterAutospacing="0"/>
              <w:ind w:left="0" w:right="0"/>
              <w:jc w:val="left"/>
              <w:rPr>
                <w:rFonts w:hint="eastAsia" w:ascii="宋体" w:hAnsi="宋体"/>
              </w:rPr>
            </w:pPr>
            <w:r>
              <w:rPr>
                <w:rFonts w:hint="eastAsia" w:ascii="宋体" w:hAnsi="宋体"/>
              </w:rPr>
              <w:t>偏差率=100%×（投标人评标价-评标基准价）／评标基准价</w:t>
            </w:r>
          </w:p>
        </w:tc>
      </w:tr>
      <w:tr w14:paraId="34BC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14:paraId="7F0D80B6">
            <w:pPr>
              <w:keepNext w:val="0"/>
              <w:keepLines w:val="0"/>
              <w:suppressLineNumbers w:val="0"/>
              <w:spacing w:before="0" w:beforeAutospacing="0" w:after="0" w:afterAutospacing="0"/>
              <w:ind w:left="0" w:right="0"/>
              <w:jc w:val="center"/>
              <w:rPr>
                <w:rFonts w:hint="eastAsia" w:ascii="宋体" w:hAnsi="宋体"/>
                <w:szCs w:val="21"/>
              </w:rPr>
            </w:pPr>
            <w:r>
              <w:rPr>
                <w:rFonts w:hint="eastAsia" w:ascii="宋体" w:hAnsi="宋体"/>
              </w:rPr>
              <w:t>3</w:t>
            </w:r>
            <w:r>
              <w:rPr>
                <w:rFonts w:hint="default" w:ascii="宋体" w:hAnsi="宋体"/>
              </w:rPr>
              <w:t>.6.1</w:t>
            </w:r>
          </w:p>
        </w:tc>
        <w:tc>
          <w:tcPr>
            <w:tcW w:w="593" w:type="pct"/>
            <w:vAlign w:val="center"/>
          </w:tcPr>
          <w:p w14:paraId="5B51AFA6">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rPr>
            </w:pPr>
            <w:r>
              <w:rPr>
                <w:rFonts w:hint="eastAsia" w:ascii="宋体" w:hAnsi="宋体"/>
              </w:rPr>
              <w:t>信息查询</w:t>
            </w:r>
          </w:p>
        </w:tc>
        <w:tc>
          <w:tcPr>
            <w:tcW w:w="3982" w:type="pct"/>
            <w:vAlign w:val="center"/>
          </w:tcPr>
          <w:p w14:paraId="73454C12">
            <w:pPr>
              <w:keepNext w:val="0"/>
              <w:keepLines w:val="0"/>
              <w:suppressLineNumbers w:val="0"/>
              <w:autoSpaceDE w:val="0"/>
              <w:autoSpaceDN w:val="0"/>
              <w:spacing w:before="0" w:beforeAutospacing="0" w:after="0" w:afterAutospacing="0" w:line="273" w:lineRule="auto"/>
              <w:ind w:left="0" w:right="0"/>
              <w:rPr>
                <w:rFonts w:hint="eastAsia" w:ascii="宋体" w:hAnsi="宋体"/>
              </w:rPr>
            </w:pPr>
            <w:r>
              <w:rPr>
                <w:rFonts w:hint="eastAsia" w:ascii="宋体" w:hAnsi="宋体"/>
              </w:rPr>
              <w:t>本款修改为：</w:t>
            </w:r>
          </w:p>
          <w:p w14:paraId="138AB486">
            <w:pPr>
              <w:keepNext w:val="0"/>
              <w:keepLines w:val="0"/>
              <w:suppressLineNumbers w:val="0"/>
              <w:autoSpaceDE w:val="0"/>
              <w:autoSpaceDN w:val="0"/>
              <w:spacing w:before="0" w:beforeAutospacing="0" w:after="0" w:afterAutospacing="0" w:line="273" w:lineRule="auto"/>
              <w:ind w:left="0" w:right="0" w:firstLine="420" w:firstLineChars="200"/>
              <w:rPr>
                <w:rFonts w:hint="eastAsia" w:ascii="宋体" w:hAnsi="宋体"/>
              </w:rPr>
            </w:pPr>
            <w:r>
              <w:rPr>
                <w:rFonts w:hint="eastAsia" w:ascii="宋体" w:hAnsi="宋体"/>
              </w:rPr>
              <w:t>（1）投标人信用情况网页截图内容与在“国家企业信用信息公示系统”中严重违法失信企业名单或在“信用中国”网站中列入失信被执行人、经营异常名录、重大税收违法失信主体、政府采购严重违法失信行为记录名单的复核结果一致。</w:t>
            </w:r>
          </w:p>
          <w:p w14:paraId="0898C017">
            <w:pPr>
              <w:keepNext w:val="0"/>
              <w:keepLines w:val="0"/>
              <w:suppressLineNumbers w:val="0"/>
              <w:autoSpaceDE w:val="0"/>
              <w:autoSpaceDN w:val="0"/>
              <w:spacing w:before="0" w:beforeAutospacing="0" w:after="0" w:afterAutospacing="0" w:line="273" w:lineRule="auto"/>
              <w:ind w:left="0" w:right="0" w:firstLine="420" w:firstLineChars="200"/>
              <w:rPr>
                <w:rFonts w:hint="eastAsia" w:ascii="宋体" w:hAnsi="宋体"/>
              </w:rPr>
            </w:pPr>
            <w:r>
              <w:rPr>
                <w:rFonts w:hint="eastAsia" w:ascii="宋体" w:hAnsi="宋体"/>
              </w:rPr>
              <w:t>如投标人未提供相关网页截图或所附截图与复核结果不一致，评标委员会应否决其投标。</w:t>
            </w:r>
          </w:p>
          <w:p w14:paraId="155B62CB">
            <w:pPr>
              <w:keepNext w:val="0"/>
              <w:keepLines w:val="0"/>
              <w:suppressLineNumbers w:val="0"/>
              <w:autoSpaceDE w:val="0"/>
              <w:autoSpaceDN w:val="0"/>
              <w:spacing w:before="0" w:beforeAutospacing="0" w:after="0" w:afterAutospacing="0" w:line="273" w:lineRule="auto"/>
              <w:ind w:left="0" w:right="0" w:firstLine="420" w:firstLineChars="200"/>
              <w:rPr>
                <w:rFonts w:hint="eastAsia" w:ascii="宋体" w:hAnsi="宋体"/>
              </w:rPr>
            </w:pPr>
            <w:r>
              <w:rPr>
                <w:rFonts w:hint="eastAsia" w:ascii="宋体" w:hAnsi="宋体"/>
              </w:rPr>
              <w:t>（2）评标委员会在评标时按照投标人提供的验证方式对电子保函或电子保证保险进行验证。如投标人未提供电子保函或电子保证保险的验证方式，或根据提供的验证方式无法核实的，评标委员会应否决其投标。</w:t>
            </w:r>
          </w:p>
          <w:p w14:paraId="782BEF0F">
            <w:pPr>
              <w:keepNext w:val="0"/>
              <w:keepLines w:val="0"/>
              <w:suppressLineNumbers w:val="0"/>
              <w:autoSpaceDE w:val="0"/>
              <w:autoSpaceDN w:val="0"/>
              <w:spacing w:before="0" w:beforeAutospacing="0" w:after="0" w:afterAutospacing="0" w:line="273" w:lineRule="auto"/>
              <w:ind w:left="0" w:right="0" w:firstLine="420" w:firstLineChars="200"/>
              <w:rPr>
                <w:rFonts w:hint="eastAsia" w:ascii="宋体" w:hAnsi="宋体"/>
              </w:rPr>
            </w:pPr>
            <w:r>
              <w:rPr>
                <w:rFonts w:hint="eastAsia" w:ascii="宋体" w:hAnsi="宋体"/>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14:paraId="1873A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000" w:type="pct"/>
            <w:gridSpan w:val="3"/>
            <w:vAlign w:val="center"/>
          </w:tcPr>
          <w:p w14:paraId="7FDAE2F2">
            <w:pPr>
              <w:keepNext w:val="0"/>
              <w:keepLines w:val="0"/>
              <w:suppressLineNumbers w:val="0"/>
              <w:spacing w:before="0" w:beforeAutospacing="0" w:after="0" w:afterAutospacing="0" w:line="340" w:lineRule="exact"/>
              <w:ind w:left="0" w:right="-105"/>
              <w:rPr>
                <w:rFonts w:hint="eastAsia" w:ascii="宋体" w:hAnsi="宋体"/>
                <w:bCs/>
                <w:szCs w:val="21"/>
              </w:rPr>
            </w:pPr>
            <w:r>
              <w:rPr>
                <w:rFonts w:hint="eastAsia" w:ascii="宋体" w:hAnsi="宋体"/>
                <w:szCs w:val="21"/>
              </w:rPr>
              <w:t>需要补充的其他内容：</w:t>
            </w:r>
            <w:r>
              <w:rPr>
                <w:rFonts w:hint="eastAsia" w:ascii="宋体" w:hAnsi="宋体"/>
                <w:bCs/>
                <w:szCs w:val="21"/>
              </w:rPr>
              <w:t>无</w:t>
            </w:r>
          </w:p>
        </w:tc>
      </w:tr>
    </w:tbl>
    <w:p w14:paraId="5A23D804"/>
    <w:p w14:paraId="59FDAB5E">
      <w:pPr>
        <w:jc w:val="right"/>
        <w:rPr>
          <w:rFonts w:hint="eastAsia"/>
        </w:rPr>
      </w:pPr>
      <w:r>
        <w:rPr>
          <w:rFonts w:hint="eastAsia"/>
          <w:lang w:eastAsia="zh"/>
        </w:rPr>
        <w:t xml:space="preserve"> </w:t>
      </w:r>
      <w:r>
        <w:br w:type="page"/>
      </w:r>
      <w:r>
        <w:rPr>
          <w:rFonts w:hint="eastAsia"/>
        </w:rPr>
        <w:t>续上表</w:t>
      </w:r>
    </w:p>
    <w:tbl>
      <w:tblPr>
        <w:tblStyle w:val="8"/>
        <w:tblW w:w="948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28"/>
        <w:gridCol w:w="659"/>
        <w:gridCol w:w="545"/>
        <w:gridCol w:w="871"/>
        <w:gridCol w:w="706"/>
        <w:gridCol w:w="565"/>
        <w:gridCol w:w="5510"/>
      </w:tblGrid>
      <w:tr w14:paraId="6E81FF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628" w:type="dxa"/>
            <w:vAlign w:val="center"/>
          </w:tcPr>
          <w:p w14:paraId="21B8828C">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条款号</w:t>
            </w:r>
          </w:p>
        </w:tc>
        <w:tc>
          <w:tcPr>
            <w:tcW w:w="659" w:type="dxa"/>
            <w:vAlign w:val="center"/>
          </w:tcPr>
          <w:p w14:paraId="290A68ED">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评审因素</w:t>
            </w:r>
          </w:p>
        </w:tc>
        <w:tc>
          <w:tcPr>
            <w:tcW w:w="545" w:type="dxa"/>
            <w:vAlign w:val="center"/>
          </w:tcPr>
          <w:p w14:paraId="1B2D1C63">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评分因素权重分值</w:t>
            </w:r>
          </w:p>
        </w:tc>
        <w:tc>
          <w:tcPr>
            <w:tcW w:w="1577" w:type="dxa"/>
            <w:gridSpan w:val="2"/>
            <w:tcBorders>
              <w:right w:val="single" w:color="auto" w:sz="4" w:space="0"/>
            </w:tcBorders>
            <w:vAlign w:val="center"/>
          </w:tcPr>
          <w:p w14:paraId="25C67FE4">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各评分因素细分项</w:t>
            </w:r>
          </w:p>
        </w:tc>
        <w:tc>
          <w:tcPr>
            <w:tcW w:w="565" w:type="dxa"/>
            <w:tcBorders>
              <w:left w:val="single" w:color="auto" w:sz="4" w:space="0"/>
              <w:right w:val="single" w:color="auto" w:sz="4" w:space="0"/>
            </w:tcBorders>
            <w:vAlign w:val="center"/>
          </w:tcPr>
          <w:p w14:paraId="43A3368B">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分值</w:t>
            </w:r>
          </w:p>
        </w:tc>
        <w:tc>
          <w:tcPr>
            <w:tcW w:w="5510" w:type="dxa"/>
            <w:tcBorders>
              <w:left w:val="single" w:color="auto" w:sz="4" w:space="0"/>
            </w:tcBorders>
            <w:vAlign w:val="center"/>
          </w:tcPr>
          <w:p w14:paraId="34ACE441">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评分标准</w:t>
            </w:r>
          </w:p>
        </w:tc>
      </w:tr>
      <w:tr w14:paraId="16381D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34" w:hRule="atLeast"/>
        </w:trPr>
        <w:tc>
          <w:tcPr>
            <w:tcW w:w="628" w:type="dxa"/>
            <w:vMerge w:val="restart"/>
            <w:vAlign w:val="center"/>
          </w:tcPr>
          <w:p w14:paraId="7ED8A2B2">
            <w:pPr>
              <w:keepNext w:val="0"/>
              <w:keepLines w:val="0"/>
              <w:suppressLineNumbers w:val="0"/>
              <w:autoSpaceDE w:val="0"/>
              <w:autoSpaceDN w:val="0"/>
              <w:spacing w:before="0" w:beforeAutospacing="0" w:after="0" w:afterAutospacing="0"/>
              <w:ind w:left="0" w:right="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2.2.4（1）</w:t>
            </w:r>
          </w:p>
        </w:tc>
        <w:tc>
          <w:tcPr>
            <w:tcW w:w="659" w:type="dxa"/>
            <w:vMerge w:val="restart"/>
            <w:vAlign w:val="center"/>
          </w:tcPr>
          <w:p w14:paraId="0D8A91FC">
            <w:pPr>
              <w:keepNext w:val="0"/>
              <w:keepLines w:val="0"/>
              <w:suppressLineNumbers w:val="0"/>
              <w:autoSpaceDE w:val="0"/>
              <w:autoSpaceDN w:val="0"/>
              <w:spacing w:before="0" w:beforeAutospacing="0" w:after="0" w:afterAutospacing="0"/>
              <w:ind w:left="0" w:right="0"/>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eastAsia="zh"/>
              </w:rPr>
              <w:t>技术</w:t>
            </w:r>
            <w:r>
              <w:rPr>
                <w:rFonts w:hint="eastAsia" w:ascii="宋体" w:hAnsi="宋体" w:cs="宋体"/>
                <w:color w:val="auto"/>
                <w:kern w:val="0"/>
                <w:sz w:val="21"/>
                <w:szCs w:val="21"/>
                <w:highlight w:val="none"/>
                <w:lang w:eastAsia="zh-CN"/>
              </w:rPr>
              <w:t>部分（</w:t>
            </w:r>
            <w:r>
              <w:rPr>
                <w:rFonts w:hint="eastAsia" w:ascii="宋体" w:hAnsi="宋体" w:cs="宋体"/>
                <w:color w:val="auto"/>
                <w:kern w:val="0"/>
                <w:sz w:val="21"/>
                <w:szCs w:val="21"/>
                <w:highlight w:val="none"/>
                <w:lang w:val="en-US" w:eastAsia="zh-CN"/>
              </w:rPr>
              <w:t>暗标</w:t>
            </w:r>
            <w:r>
              <w:rPr>
                <w:rFonts w:hint="eastAsia" w:ascii="宋体" w:hAnsi="宋体" w:cs="宋体"/>
                <w:color w:val="auto"/>
                <w:kern w:val="0"/>
                <w:sz w:val="21"/>
                <w:szCs w:val="21"/>
                <w:highlight w:val="none"/>
                <w:lang w:eastAsia="zh-CN"/>
              </w:rPr>
              <w:t>）</w:t>
            </w:r>
          </w:p>
        </w:tc>
        <w:tc>
          <w:tcPr>
            <w:tcW w:w="545" w:type="dxa"/>
            <w:vMerge w:val="restart"/>
            <w:vAlign w:val="center"/>
          </w:tcPr>
          <w:p w14:paraId="67392DE7">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分</w:t>
            </w:r>
          </w:p>
        </w:tc>
        <w:tc>
          <w:tcPr>
            <w:tcW w:w="1577" w:type="dxa"/>
            <w:gridSpan w:val="2"/>
            <w:tcBorders>
              <w:right w:val="single" w:color="auto" w:sz="4" w:space="0"/>
            </w:tcBorders>
            <w:vAlign w:val="center"/>
          </w:tcPr>
          <w:p w14:paraId="61FCFE8C">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kern w:val="0"/>
                <w:sz w:val="21"/>
                <w:szCs w:val="21"/>
              </w:rPr>
            </w:pPr>
            <w:r>
              <w:rPr>
                <w:rFonts w:hint="eastAsia" w:ascii="宋体" w:hAnsi="宋体" w:cs="宋体"/>
                <w:snapToGrid w:val="0"/>
                <w:color w:val="auto"/>
                <w:sz w:val="21"/>
                <w:szCs w:val="21"/>
                <w:lang w:val="en-US" w:eastAsia="zh-CN"/>
              </w:rPr>
              <w:t>针对本项目</w:t>
            </w:r>
            <w:r>
              <w:rPr>
                <w:rFonts w:hint="eastAsia" w:ascii="宋体" w:hAnsi="宋体" w:eastAsia="宋体" w:cs="宋体"/>
                <w:snapToGrid w:val="0"/>
                <w:color w:val="auto"/>
                <w:sz w:val="21"/>
                <w:szCs w:val="21"/>
              </w:rPr>
              <w:t>研究</w:t>
            </w:r>
            <w:r>
              <w:rPr>
                <w:rFonts w:hint="eastAsia" w:ascii="宋体" w:hAnsi="宋体" w:cs="宋体"/>
                <w:snapToGrid w:val="0"/>
                <w:color w:val="auto"/>
                <w:sz w:val="21"/>
                <w:szCs w:val="21"/>
                <w:lang w:val="en-US" w:eastAsia="zh-CN"/>
              </w:rPr>
              <w:t>内容，相关</w:t>
            </w:r>
            <w:r>
              <w:rPr>
                <w:rFonts w:hint="eastAsia" w:ascii="宋体" w:hAnsi="宋体" w:eastAsia="宋体" w:cs="宋体"/>
                <w:snapToGrid w:val="0"/>
                <w:color w:val="auto"/>
                <w:sz w:val="21"/>
                <w:szCs w:val="21"/>
              </w:rPr>
              <w:t>服务重点、难点分析及对项目了解情况</w:t>
            </w:r>
          </w:p>
        </w:tc>
        <w:tc>
          <w:tcPr>
            <w:tcW w:w="565" w:type="dxa"/>
            <w:tcBorders>
              <w:left w:val="single" w:color="auto" w:sz="4" w:space="0"/>
              <w:right w:val="single" w:color="auto" w:sz="4" w:space="0"/>
            </w:tcBorders>
            <w:vAlign w:val="center"/>
          </w:tcPr>
          <w:p w14:paraId="60C4D67D">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kern w:val="0"/>
                <w:sz w:val="21"/>
                <w:szCs w:val="21"/>
              </w:rPr>
            </w:pP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分</w:t>
            </w:r>
          </w:p>
        </w:tc>
        <w:tc>
          <w:tcPr>
            <w:tcW w:w="5510" w:type="dxa"/>
            <w:tcBorders>
              <w:left w:val="single" w:color="auto" w:sz="4" w:space="0"/>
            </w:tcBorders>
            <w:vAlign w:val="center"/>
          </w:tcPr>
          <w:p w14:paraId="5D49A509">
            <w:pPr>
              <w:keepNext w:val="0"/>
              <w:keepLines w:val="0"/>
              <w:suppressLineNumbers w:val="0"/>
              <w:autoSpaceDE w:val="0"/>
              <w:autoSpaceDN w:val="0"/>
              <w:spacing w:before="0" w:beforeAutospacing="0" w:after="0" w:afterAutospacing="0" w:line="273" w:lineRule="auto"/>
              <w:ind w:left="0" w:right="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相关</w:t>
            </w:r>
            <w:r>
              <w:rPr>
                <w:rFonts w:hint="eastAsia" w:ascii="宋体" w:hAnsi="宋体" w:eastAsia="宋体" w:cs="宋体"/>
                <w:color w:val="auto"/>
                <w:sz w:val="21"/>
                <w:szCs w:val="21"/>
              </w:rPr>
              <w:t>服务重点、难点分析及对项目了解情况论述完整、全面且科学性、指导性强的得</w:t>
            </w:r>
            <w:r>
              <w:rPr>
                <w:rFonts w:hint="eastAsia" w:ascii="宋体" w:hAnsi="宋体" w:cs="宋体"/>
                <w:color w:val="auto"/>
                <w:sz w:val="21"/>
                <w:szCs w:val="21"/>
                <w:lang w:val="en-US" w:eastAsia="zh-CN"/>
              </w:rPr>
              <w:t>4.8-6.0</w:t>
            </w:r>
            <w:r>
              <w:rPr>
                <w:rFonts w:hint="eastAsia" w:ascii="宋体" w:hAnsi="宋体" w:eastAsia="宋体" w:cs="宋体"/>
                <w:color w:val="auto"/>
                <w:sz w:val="21"/>
                <w:szCs w:val="21"/>
              </w:rPr>
              <w:t>分</w:t>
            </w:r>
            <w:r>
              <w:rPr>
                <w:rFonts w:hint="eastAsia" w:ascii="宋体" w:hAnsi="宋体" w:cs="宋体"/>
                <w:color w:val="auto"/>
                <w:sz w:val="21"/>
                <w:szCs w:val="21"/>
                <w:lang w:eastAsia="zh-CN"/>
              </w:rPr>
              <w:t>，</w:t>
            </w:r>
          </w:p>
          <w:p w14:paraId="5F8B2268">
            <w:pPr>
              <w:keepNext w:val="0"/>
              <w:keepLines w:val="0"/>
              <w:suppressLineNumbers w:val="0"/>
              <w:autoSpaceDE w:val="0"/>
              <w:autoSpaceDN w:val="0"/>
              <w:spacing w:before="0" w:beforeAutospacing="0" w:after="0" w:afterAutospacing="0" w:line="273" w:lineRule="auto"/>
              <w:ind w:left="0" w:right="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论述完整、全面但科学性、指导性不足的得</w:t>
            </w:r>
            <w:r>
              <w:rPr>
                <w:rFonts w:hint="eastAsia" w:ascii="宋体" w:hAnsi="宋体" w:cs="宋体"/>
                <w:color w:val="auto"/>
                <w:sz w:val="21"/>
                <w:szCs w:val="21"/>
                <w:lang w:val="en-US" w:eastAsia="zh-CN"/>
              </w:rPr>
              <w:t>3.6-4.8</w:t>
            </w:r>
            <w:r>
              <w:rPr>
                <w:rFonts w:hint="eastAsia" w:ascii="宋体" w:hAnsi="宋体" w:eastAsia="宋体" w:cs="宋体"/>
                <w:color w:val="auto"/>
                <w:sz w:val="21"/>
                <w:szCs w:val="21"/>
              </w:rPr>
              <w:t>分</w:t>
            </w:r>
            <w:r>
              <w:rPr>
                <w:rFonts w:hint="eastAsia" w:ascii="宋体" w:hAnsi="宋体" w:cs="宋体"/>
                <w:color w:val="auto"/>
                <w:sz w:val="21"/>
                <w:szCs w:val="21"/>
                <w:lang w:eastAsia="zh-CN"/>
              </w:rPr>
              <w:t>，</w:t>
            </w:r>
          </w:p>
          <w:p w14:paraId="28166ECA">
            <w:pPr>
              <w:keepNext w:val="0"/>
              <w:keepLines w:val="0"/>
              <w:suppressLineNumbers w:val="0"/>
              <w:autoSpaceDE w:val="0"/>
              <w:autoSpaceDN w:val="0"/>
              <w:spacing w:before="0" w:beforeAutospacing="0" w:after="0" w:afterAutospacing="0" w:line="273" w:lineRule="auto"/>
              <w:ind w:left="0" w:righ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论述不够完整的得</w:t>
            </w:r>
            <w:r>
              <w:rPr>
                <w:rFonts w:hint="eastAsia" w:ascii="宋体" w:hAnsi="宋体" w:cs="宋体"/>
                <w:color w:val="auto"/>
                <w:sz w:val="21"/>
                <w:szCs w:val="21"/>
                <w:lang w:val="en-US" w:eastAsia="zh-CN"/>
              </w:rPr>
              <w:t>3.6</w:t>
            </w:r>
            <w:r>
              <w:rPr>
                <w:rFonts w:hint="eastAsia" w:ascii="宋体" w:hAnsi="宋体" w:eastAsia="宋体" w:cs="宋体"/>
                <w:color w:val="auto"/>
                <w:sz w:val="21"/>
                <w:szCs w:val="21"/>
              </w:rPr>
              <w:t>分。</w:t>
            </w:r>
          </w:p>
        </w:tc>
      </w:tr>
      <w:tr w14:paraId="6339E3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34" w:hRule="atLeast"/>
        </w:trPr>
        <w:tc>
          <w:tcPr>
            <w:tcW w:w="628" w:type="dxa"/>
            <w:vMerge w:val="continue"/>
            <w:vAlign w:val="center"/>
          </w:tcPr>
          <w:p w14:paraId="3B716C74">
            <w:pPr>
              <w:keepNext w:val="0"/>
              <w:keepLines w:val="0"/>
              <w:suppressLineNumbers w:val="0"/>
              <w:autoSpaceDE w:val="0"/>
              <w:autoSpaceDN w:val="0"/>
              <w:spacing w:before="0" w:beforeAutospacing="0" w:after="0" w:afterAutospacing="0"/>
              <w:ind w:left="0" w:right="0"/>
              <w:rPr>
                <w:rFonts w:hint="eastAsia" w:ascii="宋体" w:hAnsi="宋体" w:eastAsia="宋体" w:cs="宋体"/>
                <w:color w:val="auto"/>
                <w:kern w:val="0"/>
                <w:sz w:val="21"/>
                <w:szCs w:val="21"/>
              </w:rPr>
            </w:pPr>
          </w:p>
        </w:tc>
        <w:tc>
          <w:tcPr>
            <w:tcW w:w="659" w:type="dxa"/>
            <w:vMerge w:val="continue"/>
            <w:vAlign w:val="center"/>
          </w:tcPr>
          <w:p w14:paraId="66062D84">
            <w:pPr>
              <w:keepNext w:val="0"/>
              <w:keepLines w:val="0"/>
              <w:suppressLineNumbers w:val="0"/>
              <w:autoSpaceDE w:val="0"/>
              <w:autoSpaceDN w:val="0"/>
              <w:spacing w:before="0" w:beforeAutospacing="0" w:after="0" w:afterAutospacing="0"/>
              <w:ind w:left="0" w:right="0"/>
              <w:rPr>
                <w:rFonts w:hint="eastAsia" w:ascii="宋体" w:hAnsi="宋体" w:eastAsia="宋体" w:cs="宋体"/>
                <w:color w:val="auto"/>
                <w:kern w:val="0"/>
                <w:sz w:val="21"/>
                <w:szCs w:val="21"/>
              </w:rPr>
            </w:pPr>
          </w:p>
        </w:tc>
        <w:tc>
          <w:tcPr>
            <w:tcW w:w="545" w:type="dxa"/>
            <w:vMerge w:val="continue"/>
            <w:vAlign w:val="center"/>
          </w:tcPr>
          <w:p w14:paraId="4FCAFA02">
            <w:pPr>
              <w:keepNext w:val="0"/>
              <w:keepLines w:val="0"/>
              <w:suppressLineNumbers w:val="0"/>
              <w:autoSpaceDE w:val="0"/>
              <w:autoSpaceDN w:val="0"/>
              <w:spacing w:before="0" w:beforeAutospacing="0" w:after="0" w:afterAutospacing="0"/>
              <w:ind w:left="0" w:right="0"/>
              <w:rPr>
                <w:rFonts w:hint="eastAsia" w:ascii="宋体" w:hAnsi="宋体" w:eastAsia="宋体" w:cs="宋体"/>
                <w:color w:val="auto"/>
                <w:kern w:val="0"/>
                <w:sz w:val="21"/>
                <w:szCs w:val="21"/>
              </w:rPr>
            </w:pPr>
          </w:p>
        </w:tc>
        <w:tc>
          <w:tcPr>
            <w:tcW w:w="1577" w:type="dxa"/>
            <w:gridSpan w:val="2"/>
            <w:tcBorders>
              <w:right w:val="single" w:color="auto" w:sz="4" w:space="0"/>
            </w:tcBorders>
            <w:vAlign w:val="center"/>
          </w:tcPr>
          <w:p w14:paraId="695AB7FB">
            <w:pPr>
              <w:pStyle w:val="6"/>
              <w:keepNext w:val="0"/>
              <w:keepLines w:val="0"/>
              <w:suppressLineNumbers w:val="0"/>
              <w:spacing w:before="0" w:beforeAutospacing="0" w:after="0" w:afterAutospacing="0"/>
              <w:ind w:left="0" w:right="0"/>
              <w:jc w:val="left"/>
              <w:rPr>
                <w:rFonts w:hint="default" w:ascii="宋体" w:hAnsi="宋体" w:eastAsia="宋体" w:cs="宋体"/>
                <w:color w:val="auto"/>
                <w:sz w:val="21"/>
                <w:szCs w:val="21"/>
                <w:lang w:val="en-US"/>
              </w:rPr>
            </w:pPr>
            <w:r>
              <w:rPr>
                <w:rFonts w:hint="eastAsia" w:cs="宋体"/>
                <w:snapToGrid w:val="0"/>
                <w:color w:val="auto"/>
                <w:spacing w:val="0"/>
                <w:w w:val="100"/>
                <w:kern w:val="2"/>
                <w:sz w:val="21"/>
                <w:szCs w:val="21"/>
                <w:lang w:val="en-US" w:eastAsia="zh-CN" w:bidi="ar-SA"/>
              </w:rPr>
              <w:t>针对本项目研究内容，</w:t>
            </w:r>
            <w:r>
              <w:rPr>
                <w:rFonts w:hint="eastAsia" w:ascii="宋体" w:hAnsi="宋体" w:eastAsia="宋体" w:cs="宋体"/>
                <w:snapToGrid w:val="0"/>
                <w:color w:val="auto"/>
                <w:spacing w:val="0"/>
                <w:w w:val="100"/>
                <w:kern w:val="2"/>
                <w:sz w:val="21"/>
                <w:szCs w:val="21"/>
                <w:lang w:val="en-US" w:eastAsia="zh-CN" w:bidi="ar-SA"/>
              </w:rPr>
              <w:t>总体思路、技术方案设计及组织方案设计</w:t>
            </w:r>
            <w:r>
              <w:rPr>
                <w:rFonts w:hint="eastAsia" w:cs="宋体"/>
                <w:snapToGrid w:val="0"/>
                <w:color w:val="auto"/>
                <w:spacing w:val="0"/>
                <w:w w:val="100"/>
                <w:kern w:val="2"/>
                <w:sz w:val="21"/>
                <w:szCs w:val="21"/>
                <w:lang w:val="en-US" w:eastAsia="zh-CN" w:bidi="ar-SA"/>
              </w:rPr>
              <w:t>情况</w:t>
            </w:r>
          </w:p>
        </w:tc>
        <w:tc>
          <w:tcPr>
            <w:tcW w:w="565" w:type="dxa"/>
            <w:tcBorders>
              <w:top w:val="single" w:color="auto" w:sz="4" w:space="0"/>
              <w:left w:val="single" w:color="auto" w:sz="4" w:space="0"/>
              <w:right w:val="single" w:color="auto" w:sz="4" w:space="0"/>
            </w:tcBorders>
            <w:vAlign w:val="center"/>
          </w:tcPr>
          <w:p w14:paraId="294ADBDF">
            <w:pPr>
              <w:pStyle w:val="6"/>
              <w:keepNext w:val="0"/>
              <w:keepLines w:val="0"/>
              <w:suppressLineNumbers w:val="0"/>
              <w:spacing w:before="0" w:beforeAutospacing="0" w:after="0" w:afterAutospacing="0"/>
              <w:ind w:left="0" w:right="0"/>
              <w:jc w:val="center"/>
              <w:rPr>
                <w:rFonts w:hint="eastAsia" w:ascii="宋体" w:hAnsi="宋体" w:eastAsia="宋体" w:cs="宋体"/>
                <w:color w:val="auto"/>
                <w:kern w:val="0"/>
                <w:sz w:val="21"/>
                <w:szCs w:val="21"/>
              </w:rPr>
            </w:pPr>
            <w:r>
              <w:rPr>
                <w:rFonts w:hint="eastAsia" w:cs="宋体"/>
                <w:color w:val="auto"/>
                <w:sz w:val="21"/>
                <w:szCs w:val="21"/>
                <w:lang w:val="en-US" w:eastAsia="zh-CN"/>
              </w:rPr>
              <w:t>6</w:t>
            </w:r>
            <w:r>
              <w:rPr>
                <w:rFonts w:hint="eastAsia" w:ascii="宋体" w:hAnsi="宋体" w:eastAsia="宋体" w:cs="宋体"/>
                <w:color w:val="auto"/>
                <w:sz w:val="21"/>
                <w:szCs w:val="21"/>
              </w:rPr>
              <w:t>分</w:t>
            </w:r>
          </w:p>
        </w:tc>
        <w:tc>
          <w:tcPr>
            <w:tcW w:w="5510" w:type="dxa"/>
            <w:tcBorders>
              <w:top w:val="single" w:color="auto" w:sz="4" w:space="0"/>
              <w:left w:val="single" w:color="auto" w:sz="4" w:space="0"/>
            </w:tcBorders>
            <w:vAlign w:val="center"/>
          </w:tcPr>
          <w:p w14:paraId="2289542B">
            <w:pPr>
              <w:keepNext w:val="0"/>
              <w:keepLines w:val="0"/>
              <w:suppressLineNumbers w:val="0"/>
              <w:autoSpaceDE w:val="0"/>
              <w:autoSpaceDN w:val="0"/>
              <w:spacing w:before="0" w:beforeAutospacing="0" w:after="0" w:afterAutospacing="0" w:line="273" w:lineRule="auto"/>
              <w:ind w:left="0" w:right="0" w:firstLine="420" w:firstLineChars="200"/>
              <w:rPr>
                <w:rFonts w:hint="eastAsia" w:ascii="宋体" w:hAnsi="宋体" w:eastAsia="宋体" w:cs="宋体"/>
                <w:color w:val="auto"/>
                <w:sz w:val="21"/>
                <w:szCs w:val="21"/>
                <w:lang w:eastAsia="zh-CN"/>
              </w:rPr>
            </w:pPr>
            <w:r>
              <w:rPr>
                <w:rFonts w:hint="eastAsia" w:ascii="宋体" w:hAnsi="宋体" w:eastAsia="宋体" w:cs="宋体"/>
                <w:snapToGrid w:val="0"/>
                <w:color w:val="auto"/>
                <w:spacing w:val="0"/>
                <w:w w:val="100"/>
                <w:kern w:val="2"/>
                <w:sz w:val="21"/>
                <w:szCs w:val="21"/>
                <w:lang w:val="en-US" w:eastAsia="zh-CN" w:bidi="ar-SA"/>
              </w:rPr>
              <w:t>总体思路、技术方案设计及组织方案设计</w:t>
            </w:r>
            <w:r>
              <w:rPr>
                <w:rFonts w:hint="eastAsia" w:cs="宋体"/>
                <w:snapToGrid w:val="0"/>
                <w:color w:val="auto"/>
                <w:spacing w:val="0"/>
                <w:w w:val="100"/>
                <w:kern w:val="2"/>
                <w:sz w:val="21"/>
                <w:szCs w:val="21"/>
                <w:lang w:val="en-US" w:eastAsia="zh-CN" w:bidi="ar-SA"/>
              </w:rPr>
              <w:t>情况</w:t>
            </w:r>
            <w:r>
              <w:rPr>
                <w:rFonts w:hint="eastAsia" w:ascii="宋体" w:hAnsi="宋体" w:eastAsia="宋体" w:cs="宋体"/>
                <w:color w:val="auto"/>
                <w:sz w:val="21"/>
                <w:szCs w:val="21"/>
              </w:rPr>
              <w:t>论述详细、合理且针对性、指导性强的得</w:t>
            </w:r>
            <w:r>
              <w:rPr>
                <w:rFonts w:hint="eastAsia" w:ascii="宋体" w:hAnsi="宋体" w:cs="宋体"/>
                <w:color w:val="auto"/>
                <w:sz w:val="21"/>
                <w:szCs w:val="21"/>
                <w:lang w:val="en-US" w:eastAsia="zh-CN"/>
              </w:rPr>
              <w:t>4.8-6.0</w:t>
            </w:r>
            <w:r>
              <w:rPr>
                <w:rFonts w:hint="eastAsia" w:ascii="宋体" w:hAnsi="宋体" w:eastAsia="宋体" w:cs="宋体"/>
                <w:color w:val="auto"/>
                <w:sz w:val="21"/>
                <w:szCs w:val="21"/>
              </w:rPr>
              <w:t>分</w:t>
            </w:r>
            <w:r>
              <w:rPr>
                <w:rFonts w:hint="eastAsia" w:ascii="宋体" w:hAnsi="宋体" w:cs="宋体"/>
                <w:color w:val="auto"/>
                <w:sz w:val="21"/>
                <w:szCs w:val="21"/>
                <w:lang w:eastAsia="zh-CN"/>
              </w:rPr>
              <w:t>，</w:t>
            </w:r>
          </w:p>
          <w:p w14:paraId="21B6E839">
            <w:pPr>
              <w:keepNext w:val="0"/>
              <w:keepLines w:val="0"/>
              <w:suppressLineNumbers w:val="0"/>
              <w:autoSpaceDE w:val="0"/>
              <w:autoSpaceDN w:val="0"/>
              <w:spacing w:before="0" w:beforeAutospacing="0" w:after="0" w:afterAutospacing="0" w:line="273" w:lineRule="auto"/>
              <w:ind w:left="0" w:right="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内容详细、合理且但针对性、指导性不足的得</w:t>
            </w:r>
            <w:r>
              <w:rPr>
                <w:rFonts w:hint="eastAsia" w:ascii="宋体" w:hAnsi="宋体" w:cs="宋体"/>
                <w:color w:val="auto"/>
                <w:sz w:val="21"/>
                <w:szCs w:val="21"/>
                <w:lang w:val="en-US" w:eastAsia="zh-CN"/>
              </w:rPr>
              <w:t>3.6</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4.8</w:t>
            </w:r>
            <w:r>
              <w:rPr>
                <w:rFonts w:hint="eastAsia" w:ascii="宋体" w:hAnsi="宋体" w:eastAsia="宋体" w:cs="宋体"/>
                <w:color w:val="auto"/>
                <w:sz w:val="21"/>
                <w:szCs w:val="21"/>
              </w:rPr>
              <w:t>分</w:t>
            </w:r>
            <w:r>
              <w:rPr>
                <w:rFonts w:hint="eastAsia" w:ascii="宋体" w:hAnsi="宋体" w:cs="宋体"/>
                <w:color w:val="auto"/>
                <w:sz w:val="21"/>
                <w:szCs w:val="21"/>
                <w:lang w:eastAsia="zh-CN"/>
              </w:rPr>
              <w:t>，</w:t>
            </w:r>
          </w:p>
          <w:p w14:paraId="2F012987">
            <w:pPr>
              <w:keepNext w:val="0"/>
              <w:keepLines w:val="0"/>
              <w:suppressLineNumbers w:val="0"/>
              <w:autoSpaceDE w:val="0"/>
              <w:autoSpaceDN w:val="0"/>
              <w:spacing w:before="0" w:beforeAutospacing="0" w:after="0" w:afterAutospacing="0" w:line="273" w:lineRule="auto"/>
              <w:ind w:left="0" w:righ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内容不够详细、合理的得</w:t>
            </w:r>
            <w:r>
              <w:rPr>
                <w:rFonts w:hint="eastAsia" w:ascii="宋体" w:hAnsi="宋体" w:cs="宋体"/>
                <w:color w:val="auto"/>
                <w:sz w:val="21"/>
                <w:szCs w:val="21"/>
                <w:lang w:val="en-US" w:eastAsia="zh-CN"/>
              </w:rPr>
              <w:t>3.6</w:t>
            </w:r>
            <w:r>
              <w:rPr>
                <w:rFonts w:hint="eastAsia" w:ascii="宋体" w:hAnsi="宋体" w:eastAsia="宋体" w:cs="宋体"/>
                <w:color w:val="auto"/>
                <w:sz w:val="21"/>
                <w:szCs w:val="21"/>
              </w:rPr>
              <w:t>分。</w:t>
            </w:r>
          </w:p>
        </w:tc>
      </w:tr>
      <w:tr w14:paraId="009CAC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34" w:hRule="atLeast"/>
        </w:trPr>
        <w:tc>
          <w:tcPr>
            <w:tcW w:w="628" w:type="dxa"/>
            <w:vMerge w:val="continue"/>
            <w:vAlign w:val="center"/>
          </w:tcPr>
          <w:p w14:paraId="6DDC0514">
            <w:pPr>
              <w:keepNext w:val="0"/>
              <w:keepLines w:val="0"/>
              <w:suppressLineNumbers w:val="0"/>
              <w:autoSpaceDE w:val="0"/>
              <w:autoSpaceDN w:val="0"/>
              <w:spacing w:before="0" w:beforeAutospacing="0" w:after="0" w:afterAutospacing="0"/>
              <w:ind w:left="0" w:right="0"/>
              <w:rPr>
                <w:rFonts w:hint="eastAsia" w:ascii="宋体" w:hAnsi="宋体" w:eastAsia="宋体" w:cs="宋体"/>
                <w:color w:val="auto"/>
                <w:kern w:val="0"/>
                <w:sz w:val="21"/>
                <w:szCs w:val="21"/>
              </w:rPr>
            </w:pPr>
          </w:p>
        </w:tc>
        <w:tc>
          <w:tcPr>
            <w:tcW w:w="659" w:type="dxa"/>
            <w:vMerge w:val="continue"/>
            <w:vAlign w:val="center"/>
          </w:tcPr>
          <w:p w14:paraId="756D577D">
            <w:pPr>
              <w:keepNext w:val="0"/>
              <w:keepLines w:val="0"/>
              <w:suppressLineNumbers w:val="0"/>
              <w:autoSpaceDE w:val="0"/>
              <w:autoSpaceDN w:val="0"/>
              <w:spacing w:before="0" w:beforeAutospacing="0" w:after="0" w:afterAutospacing="0"/>
              <w:ind w:left="0" w:right="0"/>
              <w:rPr>
                <w:rFonts w:hint="eastAsia" w:ascii="宋体" w:hAnsi="宋体" w:eastAsia="宋体" w:cs="宋体"/>
                <w:color w:val="auto"/>
                <w:kern w:val="0"/>
                <w:sz w:val="21"/>
                <w:szCs w:val="21"/>
              </w:rPr>
            </w:pPr>
          </w:p>
        </w:tc>
        <w:tc>
          <w:tcPr>
            <w:tcW w:w="545" w:type="dxa"/>
            <w:vMerge w:val="continue"/>
            <w:vAlign w:val="center"/>
          </w:tcPr>
          <w:p w14:paraId="69EF00A3">
            <w:pPr>
              <w:keepNext w:val="0"/>
              <w:keepLines w:val="0"/>
              <w:suppressLineNumbers w:val="0"/>
              <w:autoSpaceDE w:val="0"/>
              <w:autoSpaceDN w:val="0"/>
              <w:spacing w:before="0" w:beforeAutospacing="0" w:after="0" w:afterAutospacing="0"/>
              <w:ind w:left="0" w:right="0"/>
              <w:rPr>
                <w:rFonts w:hint="eastAsia" w:ascii="宋体" w:hAnsi="宋体" w:eastAsia="宋体" w:cs="宋体"/>
                <w:color w:val="auto"/>
                <w:kern w:val="0"/>
                <w:sz w:val="21"/>
                <w:szCs w:val="21"/>
              </w:rPr>
            </w:pPr>
          </w:p>
        </w:tc>
        <w:tc>
          <w:tcPr>
            <w:tcW w:w="1577" w:type="dxa"/>
            <w:gridSpan w:val="2"/>
            <w:tcBorders>
              <w:top w:val="single" w:color="auto" w:sz="4" w:space="0"/>
              <w:right w:val="single" w:color="auto" w:sz="4" w:space="0"/>
            </w:tcBorders>
            <w:vAlign w:val="center"/>
          </w:tcPr>
          <w:p w14:paraId="24D3A7A7">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kern w:val="0"/>
                <w:sz w:val="21"/>
                <w:szCs w:val="21"/>
              </w:rPr>
            </w:pPr>
            <w:r>
              <w:rPr>
                <w:rFonts w:hint="eastAsia" w:cs="宋体"/>
                <w:snapToGrid w:val="0"/>
                <w:color w:val="auto"/>
                <w:spacing w:val="0"/>
                <w:w w:val="100"/>
                <w:kern w:val="2"/>
                <w:sz w:val="21"/>
                <w:szCs w:val="21"/>
                <w:lang w:val="en-US" w:eastAsia="zh-CN" w:bidi="ar-SA"/>
              </w:rPr>
              <w:t>针对本项目研究内容，制定的</w:t>
            </w:r>
            <w:r>
              <w:rPr>
                <w:rFonts w:hint="eastAsia" w:ascii="宋体" w:hAnsi="宋体" w:eastAsia="宋体" w:cs="宋体"/>
                <w:snapToGrid w:val="0"/>
                <w:color w:val="auto"/>
                <w:sz w:val="21"/>
                <w:szCs w:val="21"/>
              </w:rPr>
              <w:t>质量保证体系及措施</w:t>
            </w:r>
          </w:p>
        </w:tc>
        <w:tc>
          <w:tcPr>
            <w:tcW w:w="565" w:type="dxa"/>
            <w:tcBorders>
              <w:top w:val="single" w:color="auto" w:sz="4" w:space="0"/>
              <w:left w:val="single" w:color="auto" w:sz="4" w:space="0"/>
              <w:right w:val="single" w:color="auto" w:sz="4" w:space="0"/>
            </w:tcBorders>
            <w:vAlign w:val="center"/>
          </w:tcPr>
          <w:p w14:paraId="3BA12235">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kern w:val="0"/>
                <w:sz w:val="21"/>
                <w:szCs w:val="21"/>
              </w:rPr>
            </w:pPr>
            <w:r>
              <w:rPr>
                <w:rFonts w:hint="eastAsia" w:ascii="宋体" w:hAnsi="宋体" w:cs="宋体"/>
                <w:color w:val="auto"/>
                <w:spacing w:val="-12"/>
                <w:sz w:val="21"/>
                <w:szCs w:val="21"/>
                <w:lang w:val="en-US" w:eastAsia="zh-CN"/>
              </w:rPr>
              <w:t>4</w:t>
            </w:r>
            <w:r>
              <w:rPr>
                <w:rFonts w:hint="eastAsia" w:ascii="宋体" w:hAnsi="宋体" w:eastAsia="宋体" w:cs="宋体"/>
                <w:color w:val="auto"/>
                <w:spacing w:val="-12"/>
                <w:sz w:val="21"/>
                <w:szCs w:val="21"/>
              </w:rPr>
              <w:t>分</w:t>
            </w:r>
          </w:p>
        </w:tc>
        <w:tc>
          <w:tcPr>
            <w:tcW w:w="5510" w:type="dxa"/>
            <w:tcBorders>
              <w:top w:val="single" w:color="auto" w:sz="4" w:space="0"/>
              <w:left w:val="single" w:color="auto" w:sz="4" w:space="0"/>
            </w:tcBorders>
            <w:vAlign w:val="center"/>
          </w:tcPr>
          <w:p w14:paraId="3D2AB819">
            <w:pPr>
              <w:keepNext w:val="0"/>
              <w:keepLines w:val="0"/>
              <w:suppressLineNumbers w:val="0"/>
              <w:autoSpaceDE w:val="0"/>
              <w:autoSpaceDN w:val="0"/>
              <w:spacing w:before="0" w:beforeAutospacing="0" w:after="0" w:afterAutospacing="0" w:line="273" w:lineRule="auto"/>
              <w:ind w:left="0" w:right="0" w:firstLine="420" w:firstLineChars="200"/>
              <w:rPr>
                <w:rFonts w:hint="eastAsia" w:ascii="宋体" w:hAnsi="宋体" w:eastAsia="宋体" w:cs="宋体"/>
                <w:color w:val="auto"/>
                <w:sz w:val="21"/>
                <w:szCs w:val="21"/>
                <w:lang w:eastAsia="zh-CN"/>
              </w:rPr>
            </w:pPr>
            <w:r>
              <w:rPr>
                <w:rFonts w:hint="eastAsia" w:cs="宋体"/>
                <w:snapToGrid w:val="0"/>
                <w:color w:val="auto"/>
                <w:spacing w:val="0"/>
                <w:w w:val="100"/>
                <w:kern w:val="2"/>
                <w:sz w:val="21"/>
                <w:szCs w:val="21"/>
                <w:lang w:val="en-US" w:eastAsia="zh-CN" w:bidi="ar-SA"/>
              </w:rPr>
              <w:t>制定的</w:t>
            </w:r>
            <w:r>
              <w:rPr>
                <w:rFonts w:hint="eastAsia" w:ascii="宋体" w:hAnsi="宋体" w:eastAsia="宋体" w:cs="宋体"/>
                <w:snapToGrid w:val="0"/>
                <w:color w:val="auto"/>
                <w:sz w:val="21"/>
                <w:szCs w:val="21"/>
              </w:rPr>
              <w:t>质量保证体系及措施</w:t>
            </w:r>
            <w:r>
              <w:rPr>
                <w:rFonts w:hint="eastAsia" w:ascii="宋体" w:hAnsi="宋体" w:eastAsia="宋体" w:cs="宋体"/>
                <w:color w:val="auto"/>
                <w:sz w:val="21"/>
                <w:szCs w:val="21"/>
              </w:rPr>
              <w:t>做法合理性、可行性强的得</w:t>
            </w:r>
            <w:r>
              <w:rPr>
                <w:rFonts w:hint="eastAsia" w:ascii="宋体" w:hAnsi="宋体" w:cs="宋体"/>
                <w:color w:val="auto"/>
                <w:sz w:val="21"/>
                <w:szCs w:val="21"/>
                <w:lang w:val="en-US" w:eastAsia="zh-CN"/>
              </w:rPr>
              <w:t>3.2</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4.0</w:t>
            </w:r>
            <w:r>
              <w:rPr>
                <w:rFonts w:hint="eastAsia" w:ascii="宋体" w:hAnsi="宋体" w:eastAsia="宋体" w:cs="宋体"/>
                <w:color w:val="auto"/>
                <w:sz w:val="21"/>
                <w:szCs w:val="21"/>
              </w:rPr>
              <w:t>分</w:t>
            </w:r>
            <w:r>
              <w:rPr>
                <w:rFonts w:hint="eastAsia" w:ascii="宋体" w:hAnsi="宋体" w:cs="宋体"/>
                <w:color w:val="auto"/>
                <w:sz w:val="21"/>
                <w:szCs w:val="21"/>
                <w:lang w:eastAsia="zh-CN"/>
              </w:rPr>
              <w:t>，</w:t>
            </w:r>
          </w:p>
          <w:p w14:paraId="3DC54ACA">
            <w:pPr>
              <w:keepNext w:val="0"/>
              <w:keepLines w:val="0"/>
              <w:suppressLineNumbers w:val="0"/>
              <w:autoSpaceDE w:val="0"/>
              <w:autoSpaceDN w:val="0"/>
              <w:spacing w:before="0" w:beforeAutospacing="0" w:after="0" w:afterAutospacing="0" w:line="273" w:lineRule="auto"/>
              <w:ind w:left="0" w:right="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措施做法合理性、可行性较好的得</w:t>
            </w:r>
            <w:r>
              <w:rPr>
                <w:rFonts w:hint="eastAsia" w:ascii="宋体" w:hAnsi="宋体" w:cs="宋体"/>
                <w:color w:val="auto"/>
                <w:sz w:val="21"/>
                <w:szCs w:val="21"/>
                <w:lang w:val="en-US" w:eastAsia="zh-CN"/>
              </w:rPr>
              <w:t>2.4</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3.2</w:t>
            </w:r>
            <w:r>
              <w:rPr>
                <w:rFonts w:hint="eastAsia" w:ascii="宋体" w:hAnsi="宋体" w:eastAsia="宋体" w:cs="宋体"/>
                <w:color w:val="auto"/>
                <w:sz w:val="21"/>
                <w:szCs w:val="21"/>
              </w:rPr>
              <w:t>分</w:t>
            </w:r>
            <w:r>
              <w:rPr>
                <w:rFonts w:hint="eastAsia" w:ascii="宋体" w:hAnsi="宋体" w:cs="宋体"/>
                <w:color w:val="auto"/>
                <w:sz w:val="21"/>
                <w:szCs w:val="21"/>
                <w:lang w:eastAsia="zh-CN"/>
              </w:rPr>
              <w:t>，</w:t>
            </w:r>
          </w:p>
          <w:p w14:paraId="6A36E47C">
            <w:pPr>
              <w:keepNext w:val="0"/>
              <w:keepLines w:val="0"/>
              <w:suppressLineNumbers w:val="0"/>
              <w:autoSpaceDE w:val="0"/>
              <w:autoSpaceDN w:val="0"/>
              <w:spacing w:before="0" w:beforeAutospacing="0" w:after="0" w:afterAutospacing="0" w:line="273" w:lineRule="auto"/>
              <w:ind w:left="0" w:righ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措施做法合理性、可行性一般的得</w:t>
            </w:r>
            <w:r>
              <w:rPr>
                <w:rFonts w:hint="eastAsia" w:ascii="宋体" w:hAnsi="宋体" w:cs="宋体"/>
                <w:color w:val="auto"/>
                <w:sz w:val="21"/>
                <w:szCs w:val="21"/>
                <w:lang w:val="en-US" w:eastAsia="zh-CN"/>
              </w:rPr>
              <w:t>2.4</w:t>
            </w:r>
            <w:r>
              <w:rPr>
                <w:rFonts w:hint="eastAsia" w:ascii="宋体" w:hAnsi="宋体" w:eastAsia="宋体" w:cs="宋体"/>
                <w:color w:val="auto"/>
                <w:sz w:val="21"/>
                <w:szCs w:val="21"/>
              </w:rPr>
              <w:t>分。</w:t>
            </w:r>
          </w:p>
        </w:tc>
      </w:tr>
      <w:tr w14:paraId="4892F4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34" w:hRule="atLeast"/>
        </w:trPr>
        <w:tc>
          <w:tcPr>
            <w:tcW w:w="628" w:type="dxa"/>
            <w:vMerge w:val="continue"/>
            <w:vAlign w:val="center"/>
          </w:tcPr>
          <w:p w14:paraId="0A4B64C8">
            <w:pPr>
              <w:keepNext w:val="0"/>
              <w:keepLines w:val="0"/>
              <w:suppressLineNumbers w:val="0"/>
              <w:autoSpaceDE w:val="0"/>
              <w:autoSpaceDN w:val="0"/>
              <w:spacing w:before="0" w:beforeAutospacing="0" w:after="0" w:afterAutospacing="0"/>
              <w:ind w:left="0" w:right="0"/>
              <w:rPr>
                <w:rFonts w:hint="eastAsia" w:ascii="宋体" w:hAnsi="宋体" w:eastAsia="宋体" w:cs="宋体"/>
                <w:color w:val="auto"/>
                <w:kern w:val="0"/>
                <w:sz w:val="21"/>
                <w:szCs w:val="21"/>
              </w:rPr>
            </w:pPr>
          </w:p>
        </w:tc>
        <w:tc>
          <w:tcPr>
            <w:tcW w:w="659" w:type="dxa"/>
            <w:vMerge w:val="continue"/>
            <w:vAlign w:val="center"/>
          </w:tcPr>
          <w:p w14:paraId="7712722F">
            <w:pPr>
              <w:keepNext w:val="0"/>
              <w:keepLines w:val="0"/>
              <w:suppressLineNumbers w:val="0"/>
              <w:autoSpaceDE w:val="0"/>
              <w:autoSpaceDN w:val="0"/>
              <w:spacing w:before="0" w:beforeAutospacing="0" w:after="0" w:afterAutospacing="0"/>
              <w:ind w:left="0" w:right="0"/>
              <w:rPr>
                <w:rFonts w:hint="eastAsia" w:ascii="宋体" w:hAnsi="宋体" w:eastAsia="宋体" w:cs="宋体"/>
                <w:color w:val="auto"/>
                <w:kern w:val="0"/>
                <w:sz w:val="21"/>
                <w:szCs w:val="21"/>
              </w:rPr>
            </w:pPr>
          </w:p>
        </w:tc>
        <w:tc>
          <w:tcPr>
            <w:tcW w:w="545" w:type="dxa"/>
            <w:vMerge w:val="continue"/>
            <w:vAlign w:val="center"/>
          </w:tcPr>
          <w:p w14:paraId="296EB923">
            <w:pPr>
              <w:keepNext w:val="0"/>
              <w:keepLines w:val="0"/>
              <w:suppressLineNumbers w:val="0"/>
              <w:autoSpaceDE w:val="0"/>
              <w:autoSpaceDN w:val="0"/>
              <w:spacing w:before="0" w:beforeAutospacing="0" w:after="0" w:afterAutospacing="0"/>
              <w:ind w:left="0" w:right="0"/>
              <w:rPr>
                <w:rFonts w:hint="eastAsia" w:ascii="宋体" w:hAnsi="宋体" w:eastAsia="宋体" w:cs="宋体"/>
                <w:color w:val="auto"/>
                <w:kern w:val="0"/>
                <w:sz w:val="21"/>
                <w:szCs w:val="21"/>
              </w:rPr>
            </w:pPr>
          </w:p>
        </w:tc>
        <w:tc>
          <w:tcPr>
            <w:tcW w:w="1577" w:type="dxa"/>
            <w:gridSpan w:val="2"/>
            <w:tcBorders>
              <w:top w:val="single" w:color="auto" w:sz="4" w:space="0"/>
              <w:right w:val="single" w:color="auto" w:sz="4" w:space="0"/>
            </w:tcBorders>
            <w:vAlign w:val="center"/>
          </w:tcPr>
          <w:p w14:paraId="7C1A26F1">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snapToGrid w:val="0"/>
                <w:color w:val="auto"/>
                <w:sz w:val="21"/>
                <w:szCs w:val="21"/>
                <w:lang w:val="en-US" w:eastAsia="zh-CN"/>
              </w:rPr>
            </w:pPr>
            <w:r>
              <w:rPr>
                <w:rFonts w:hint="eastAsia" w:ascii="宋体" w:hAnsi="宋体" w:eastAsia="宋体" w:cs="宋体"/>
                <w:snapToGrid w:val="0"/>
                <w:color w:val="auto"/>
                <w:sz w:val="21"/>
                <w:szCs w:val="21"/>
              </w:rPr>
              <w:t>后续服务工作安排及承诺</w:t>
            </w:r>
            <w:r>
              <w:rPr>
                <w:rFonts w:hint="eastAsia" w:ascii="宋体" w:hAnsi="宋体" w:eastAsia="宋体" w:cs="宋体"/>
                <w:snapToGrid w:val="0"/>
                <w:color w:val="auto"/>
                <w:sz w:val="21"/>
                <w:szCs w:val="21"/>
                <w:lang w:val="en-US" w:eastAsia="zh-CN"/>
              </w:rPr>
              <w:t>和相关紧急预案及保密措施</w:t>
            </w:r>
          </w:p>
          <w:p w14:paraId="09745ABE">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kern w:val="0"/>
                <w:sz w:val="21"/>
                <w:szCs w:val="21"/>
              </w:rPr>
            </w:pPr>
          </w:p>
        </w:tc>
        <w:tc>
          <w:tcPr>
            <w:tcW w:w="565" w:type="dxa"/>
            <w:tcBorders>
              <w:top w:val="single" w:color="auto" w:sz="4" w:space="0"/>
              <w:left w:val="single" w:color="auto" w:sz="4" w:space="0"/>
              <w:right w:val="single" w:color="auto" w:sz="4" w:space="0"/>
            </w:tcBorders>
            <w:vAlign w:val="center"/>
          </w:tcPr>
          <w:p w14:paraId="253D4090">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kern w:val="0"/>
                <w:sz w:val="21"/>
                <w:szCs w:val="21"/>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分</w:t>
            </w:r>
          </w:p>
        </w:tc>
        <w:tc>
          <w:tcPr>
            <w:tcW w:w="5510" w:type="dxa"/>
            <w:tcBorders>
              <w:top w:val="single" w:color="auto" w:sz="4" w:space="0"/>
              <w:left w:val="single" w:color="auto" w:sz="4" w:space="0"/>
            </w:tcBorders>
            <w:vAlign w:val="center"/>
          </w:tcPr>
          <w:p w14:paraId="35AE1EBA">
            <w:pPr>
              <w:keepNext w:val="0"/>
              <w:keepLines w:val="0"/>
              <w:suppressLineNumbers w:val="0"/>
              <w:autoSpaceDE w:val="0"/>
              <w:autoSpaceDN w:val="0"/>
              <w:spacing w:before="0" w:beforeAutospacing="0" w:after="0" w:afterAutospacing="0"/>
              <w:ind w:left="0" w:right="0"/>
              <w:jc w:val="left"/>
              <w:rPr>
                <w:rFonts w:hint="eastAsia" w:ascii="宋体" w:hAnsi="宋体" w:eastAsia="宋体" w:cs="宋体"/>
                <w:color w:val="auto"/>
                <w:sz w:val="21"/>
                <w:szCs w:val="21"/>
                <w:lang w:eastAsia="zh-CN"/>
              </w:rPr>
            </w:pPr>
            <w:r>
              <w:rPr>
                <w:rFonts w:hint="eastAsia" w:ascii="宋体" w:hAnsi="宋体" w:cs="宋体"/>
                <w:snapToGrid w:val="0"/>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后续服务工作安排及承诺</w:t>
            </w:r>
            <w:r>
              <w:rPr>
                <w:rFonts w:hint="eastAsia" w:ascii="宋体" w:hAnsi="宋体" w:eastAsia="宋体" w:cs="宋体"/>
                <w:color w:val="auto"/>
                <w:sz w:val="21"/>
                <w:szCs w:val="21"/>
                <w:lang w:val="en-US" w:eastAsia="zh-CN"/>
              </w:rPr>
              <w:t>和相关紧急预案及保密措施</w:t>
            </w:r>
            <w:r>
              <w:rPr>
                <w:rFonts w:hint="eastAsia" w:ascii="宋体" w:hAnsi="宋体" w:eastAsia="宋体" w:cs="宋体"/>
                <w:color w:val="auto"/>
                <w:sz w:val="21"/>
                <w:szCs w:val="21"/>
              </w:rPr>
              <w:t>良好的得</w:t>
            </w:r>
            <w:r>
              <w:rPr>
                <w:rFonts w:hint="eastAsia" w:ascii="宋体" w:hAnsi="宋体" w:cs="宋体"/>
                <w:color w:val="auto"/>
                <w:sz w:val="21"/>
                <w:szCs w:val="21"/>
                <w:lang w:val="en-US" w:eastAsia="zh-CN"/>
              </w:rPr>
              <w:t>3.2</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4.0</w:t>
            </w:r>
            <w:r>
              <w:rPr>
                <w:rFonts w:hint="eastAsia" w:ascii="宋体" w:hAnsi="宋体" w:eastAsia="宋体" w:cs="宋体"/>
                <w:color w:val="auto"/>
                <w:sz w:val="21"/>
                <w:szCs w:val="21"/>
              </w:rPr>
              <w:t>分</w:t>
            </w:r>
            <w:r>
              <w:rPr>
                <w:rFonts w:hint="eastAsia" w:ascii="宋体" w:hAnsi="宋体" w:cs="宋体"/>
                <w:color w:val="auto"/>
                <w:sz w:val="21"/>
                <w:szCs w:val="21"/>
                <w:lang w:eastAsia="zh-CN"/>
              </w:rPr>
              <w:t>，</w:t>
            </w:r>
          </w:p>
          <w:p w14:paraId="6828FE96">
            <w:pPr>
              <w:keepNext w:val="0"/>
              <w:keepLines w:val="0"/>
              <w:suppressLineNumbers w:val="0"/>
              <w:autoSpaceDE w:val="0"/>
              <w:autoSpaceDN w:val="0"/>
              <w:spacing w:before="0" w:beforeAutospacing="0" w:after="0" w:afterAutospacing="0" w:line="273" w:lineRule="auto"/>
              <w:ind w:left="0" w:right="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后续服务工作安排及承诺</w:t>
            </w:r>
            <w:r>
              <w:rPr>
                <w:rFonts w:hint="eastAsia" w:ascii="宋体" w:hAnsi="宋体" w:eastAsia="宋体" w:cs="宋体"/>
                <w:color w:val="auto"/>
                <w:sz w:val="21"/>
                <w:szCs w:val="21"/>
                <w:lang w:val="en-US" w:eastAsia="zh-CN"/>
              </w:rPr>
              <w:t>和相关紧急预案及保密措施</w:t>
            </w:r>
            <w:r>
              <w:rPr>
                <w:rFonts w:hint="eastAsia" w:ascii="宋体" w:hAnsi="宋体" w:eastAsia="宋体" w:cs="宋体"/>
                <w:color w:val="auto"/>
                <w:sz w:val="21"/>
                <w:szCs w:val="21"/>
              </w:rPr>
              <w:t>较好的得</w:t>
            </w:r>
            <w:r>
              <w:rPr>
                <w:rFonts w:hint="eastAsia" w:ascii="宋体" w:hAnsi="宋体" w:cs="宋体"/>
                <w:color w:val="auto"/>
                <w:sz w:val="21"/>
                <w:szCs w:val="21"/>
                <w:lang w:val="en-US" w:eastAsia="zh-CN"/>
              </w:rPr>
              <w:t>2.4</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3.2</w:t>
            </w:r>
            <w:r>
              <w:rPr>
                <w:rFonts w:hint="eastAsia" w:ascii="宋体" w:hAnsi="宋体" w:eastAsia="宋体" w:cs="宋体"/>
                <w:color w:val="auto"/>
                <w:sz w:val="21"/>
                <w:szCs w:val="21"/>
              </w:rPr>
              <w:t>分</w:t>
            </w:r>
            <w:r>
              <w:rPr>
                <w:rFonts w:hint="eastAsia" w:ascii="宋体" w:hAnsi="宋体" w:cs="宋体"/>
                <w:color w:val="auto"/>
                <w:sz w:val="21"/>
                <w:szCs w:val="21"/>
                <w:lang w:eastAsia="zh-CN"/>
              </w:rPr>
              <w:t>，</w:t>
            </w:r>
          </w:p>
          <w:p w14:paraId="58C21795">
            <w:pPr>
              <w:keepNext w:val="0"/>
              <w:keepLines w:val="0"/>
              <w:suppressLineNumbers w:val="0"/>
              <w:autoSpaceDE w:val="0"/>
              <w:autoSpaceDN w:val="0"/>
              <w:spacing w:before="0" w:beforeAutospacing="0" w:after="0" w:afterAutospacing="0" w:line="273" w:lineRule="auto"/>
              <w:ind w:left="0" w:righ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后续服务工作安排及承诺</w:t>
            </w:r>
            <w:r>
              <w:rPr>
                <w:rFonts w:hint="eastAsia" w:ascii="宋体" w:hAnsi="宋体" w:eastAsia="宋体" w:cs="宋体"/>
                <w:color w:val="auto"/>
                <w:sz w:val="21"/>
                <w:szCs w:val="21"/>
                <w:lang w:val="en-US" w:eastAsia="zh-CN"/>
              </w:rPr>
              <w:t>和相关紧急预案及保密措施</w:t>
            </w:r>
            <w:r>
              <w:rPr>
                <w:rFonts w:hint="eastAsia" w:ascii="宋体" w:hAnsi="宋体" w:eastAsia="宋体" w:cs="宋体"/>
                <w:color w:val="auto"/>
                <w:sz w:val="21"/>
                <w:szCs w:val="21"/>
              </w:rPr>
              <w:t>一般的得</w:t>
            </w:r>
            <w:r>
              <w:rPr>
                <w:rFonts w:hint="eastAsia" w:ascii="宋体" w:hAnsi="宋体" w:cs="宋体"/>
                <w:color w:val="auto"/>
                <w:sz w:val="21"/>
                <w:szCs w:val="21"/>
                <w:lang w:val="en-US" w:eastAsia="zh-CN"/>
              </w:rPr>
              <w:t>2.4</w:t>
            </w:r>
            <w:r>
              <w:rPr>
                <w:rFonts w:hint="eastAsia" w:ascii="宋体" w:hAnsi="宋体" w:eastAsia="宋体" w:cs="宋体"/>
                <w:color w:val="auto"/>
                <w:sz w:val="21"/>
                <w:szCs w:val="21"/>
              </w:rPr>
              <w:t>分。</w:t>
            </w:r>
          </w:p>
        </w:tc>
      </w:tr>
      <w:tr w14:paraId="6EFB95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51" w:hRule="atLeast"/>
        </w:trPr>
        <w:tc>
          <w:tcPr>
            <w:tcW w:w="628" w:type="dxa"/>
            <w:vMerge w:val="restart"/>
            <w:vAlign w:val="center"/>
          </w:tcPr>
          <w:p w14:paraId="00104D1C">
            <w:pPr>
              <w:keepNext w:val="0"/>
              <w:keepLines w:val="0"/>
              <w:suppressLineNumbers w:val="0"/>
              <w:autoSpaceDE w:val="0"/>
              <w:autoSpaceDN w:val="0"/>
              <w:spacing w:before="0" w:beforeAutospacing="0" w:after="0" w:afterAutospacing="0"/>
              <w:ind w:left="0" w:right="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2.2.4（2）</w:t>
            </w:r>
          </w:p>
        </w:tc>
        <w:tc>
          <w:tcPr>
            <w:tcW w:w="659" w:type="dxa"/>
            <w:vMerge w:val="restart"/>
            <w:vAlign w:val="center"/>
          </w:tcPr>
          <w:p w14:paraId="2622FF69">
            <w:pPr>
              <w:keepNext w:val="0"/>
              <w:keepLines w:val="0"/>
              <w:suppressLineNumbers w:val="0"/>
              <w:autoSpaceDE w:val="0"/>
              <w:autoSpaceDN w:val="0"/>
              <w:spacing w:before="0" w:beforeAutospacing="0" w:after="0" w:afterAutospacing="0"/>
              <w:ind w:left="0" w:right="0"/>
              <w:jc w:val="center"/>
              <w:rPr>
                <w:rFonts w:hint="eastAsia" w:ascii="宋体" w:hAnsi="宋体" w:cs="宋体"/>
                <w:color w:val="000000"/>
                <w:kern w:val="0"/>
                <w:sz w:val="21"/>
                <w:szCs w:val="21"/>
                <w:highlight w:val="none"/>
                <w:lang w:eastAsia="zh"/>
              </w:rPr>
            </w:pPr>
            <w:r>
              <w:rPr>
                <w:rFonts w:hint="eastAsia" w:ascii="宋体" w:hAnsi="宋体" w:cs="宋体"/>
                <w:color w:val="000000"/>
                <w:kern w:val="0"/>
                <w:sz w:val="21"/>
                <w:szCs w:val="21"/>
                <w:highlight w:val="none"/>
                <w:lang w:eastAsia="zh"/>
              </w:rPr>
              <w:t>项目</w:t>
            </w:r>
          </w:p>
          <w:p w14:paraId="7142CF6A">
            <w:pPr>
              <w:keepNext w:val="0"/>
              <w:keepLines w:val="0"/>
              <w:suppressLineNumbers w:val="0"/>
              <w:autoSpaceDE w:val="0"/>
              <w:autoSpaceDN w:val="0"/>
              <w:spacing w:before="0" w:beforeAutospacing="0" w:after="0" w:afterAutospacing="0"/>
              <w:ind w:left="0" w:right="0"/>
              <w:jc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人员</w:t>
            </w:r>
          </w:p>
        </w:tc>
        <w:tc>
          <w:tcPr>
            <w:tcW w:w="545" w:type="dxa"/>
            <w:vMerge w:val="restart"/>
            <w:vAlign w:val="center"/>
          </w:tcPr>
          <w:p w14:paraId="01CA8298">
            <w:pPr>
              <w:keepNext w:val="0"/>
              <w:keepLines w:val="0"/>
              <w:suppressLineNumbers w:val="0"/>
              <w:autoSpaceDE w:val="0"/>
              <w:autoSpaceDN w:val="0"/>
              <w:spacing w:before="0" w:beforeAutospacing="0" w:after="0" w:afterAutospacing="0"/>
              <w:ind w:left="0" w:leftChars="0" w:right="0" w:firstLine="0" w:firstLineChars="0"/>
              <w:jc w:val="center"/>
              <w:rPr>
                <w:rFonts w:hint="eastAsia" w:ascii="宋体" w:hAnsi="宋体" w:cs="宋体"/>
                <w:color w:val="000000"/>
                <w:kern w:val="0"/>
                <w:sz w:val="21"/>
                <w:szCs w:val="21"/>
                <w:highlight w:val="none"/>
                <w:lang w:eastAsia="zh"/>
              </w:rPr>
            </w:pPr>
            <w:r>
              <w:rPr>
                <w:rFonts w:hint="eastAsia" w:ascii="宋体" w:hAnsi="宋体" w:cs="宋体"/>
                <w:color w:val="000000"/>
                <w:kern w:val="0"/>
                <w:sz w:val="21"/>
                <w:szCs w:val="21"/>
                <w:highlight w:val="none"/>
                <w:lang w:eastAsia="zh"/>
              </w:rPr>
              <w:t>35分</w:t>
            </w:r>
          </w:p>
        </w:tc>
        <w:tc>
          <w:tcPr>
            <w:tcW w:w="871" w:type="dxa"/>
            <w:vMerge w:val="restart"/>
            <w:tcBorders>
              <w:top w:val="single" w:color="auto" w:sz="4" w:space="0"/>
              <w:right w:val="single" w:color="auto" w:sz="4" w:space="0"/>
            </w:tcBorders>
            <w:vAlign w:val="center"/>
          </w:tcPr>
          <w:p w14:paraId="79DC0260">
            <w:pPr>
              <w:keepNext w:val="0"/>
              <w:keepLines w:val="0"/>
              <w:suppressLineNumbers w:val="0"/>
              <w:autoSpaceDE w:val="0"/>
              <w:autoSpaceDN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项目</w:t>
            </w:r>
            <w:r>
              <w:rPr>
                <w:rFonts w:hint="eastAsia" w:ascii="宋体" w:hAnsi="宋体" w:cs="宋体"/>
                <w:color w:val="000000"/>
                <w:kern w:val="0"/>
                <w:sz w:val="21"/>
                <w:szCs w:val="21"/>
                <w:highlight w:val="none"/>
                <w:lang w:eastAsia="zh"/>
              </w:rPr>
              <w:t>总监（10分）</w:t>
            </w:r>
          </w:p>
        </w:tc>
        <w:tc>
          <w:tcPr>
            <w:tcW w:w="706" w:type="dxa"/>
            <w:tcBorders>
              <w:top w:val="single" w:color="auto" w:sz="4" w:space="0"/>
              <w:left w:val="single" w:color="auto" w:sz="4" w:space="0"/>
              <w:bottom w:val="single" w:color="auto" w:sz="4" w:space="0"/>
              <w:right w:val="single" w:color="auto" w:sz="4" w:space="0"/>
            </w:tcBorders>
            <w:vAlign w:val="center"/>
          </w:tcPr>
          <w:p w14:paraId="5666A1DA">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满足资格审查条件</w:t>
            </w:r>
          </w:p>
        </w:tc>
        <w:tc>
          <w:tcPr>
            <w:tcW w:w="565" w:type="dxa"/>
            <w:tcBorders>
              <w:top w:val="single" w:color="auto" w:sz="4" w:space="0"/>
              <w:left w:val="single" w:color="auto" w:sz="4" w:space="0"/>
              <w:bottom w:val="single" w:color="auto" w:sz="4" w:space="0"/>
              <w:right w:val="single" w:color="auto" w:sz="4" w:space="0"/>
            </w:tcBorders>
            <w:vAlign w:val="center"/>
          </w:tcPr>
          <w:p w14:paraId="5DE74CD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eastAsia="zh"/>
              </w:rPr>
              <w:t>6</w:t>
            </w:r>
            <w:r>
              <w:rPr>
                <w:rFonts w:hint="eastAsia" w:ascii="宋体" w:hAnsi="宋体" w:eastAsia="宋体" w:cs="宋体"/>
                <w:color w:val="000000"/>
                <w:sz w:val="21"/>
                <w:szCs w:val="21"/>
                <w:highlight w:val="none"/>
              </w:rPr>
              <w:t>分</w:t>
            </w:r>
          </w:p>
        </w:tc>
        <w:tc>
          <w:tcPr>
            <w:tcW w:w="5510" w:type="dxa"/>
            <w:tcBorders>
              <w:top w:val="single" w:color="auto" w:sz="4" w:space="0"/>
              <w:left w:val="single" w:color="auto" w:sz="4" w:space="0"/>
              <w:bottom w:val="single" w:color="auto" w:sz="4" w:space="0"/>
            </w:tcBorders>
            <w:vAlign w:val="center"/>
          </w:tcPr>
          <w:p w14:paraId="1DC12669">
            <w:pPr>
              <w:keepNext w:val="0"/>
              <w:keepLines w:val="0"/>
              <w:suppressLineNumbers w:val="0"/>
              <w:spacing w:before="0" w:beforeAutospacing="0" w:after="0" w:afterAutospacing="0"/>
              <w:ind w:left="0" w:right="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满足资格审查条件，得</w:t>
            </w:r>
            <w:r>
              <w:rPr>
                <w:rFonts w:hint="eastAsia" w:ascii="宋体" w:hAnsi="宋体" w:cs="宋体"/>
                <w:color w:val="000000"/>
                <w:sz w:val="21"/>
                <w:szCs w:val="21"/>
                <w:highlight w:val="none"/>
                <w:lang w:eastAsia="zh"/>
              </w:rPr>
              <w:t>6</w:t>
            </w:r>
            <w:r>
              <w:rPr>
                <w:rFonts w:hint="eastAsia" w:ascii="宋体" w:hAnsi="宋体" w:eastAsia="宋体" w:cs="宋体"/>
                <w:color w:val="000000"/>
                <w:sz w:val="21"/>
                <w:szCs w:val="21"/>
                <w:highlight w:val="none"/>
              </w:rPr>
              <w:t>分</w:t>
            </w:r>
            <w:r>
              <w:rPr>
                <w:rFonts w:hint="eastAsia" w:ascii="宋体" w:hAnsi="宋体" w:cs="宋体"/>
                <w:color w:val="000000"/>
                <w:sz w:val="21"/>
                <w:szCs w:val="21"/>
                <w:highlight w:val="none"/>
                <w:lang w:eastAsia="zh-CN"/>
              </w:rPr>
              <w:t>。</w:t>
            </w:r>
          </w:p>
        </w:tc>
      </w:tr>
      <w:tr w14:paraId="12952D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3" w:hRule="atLeast"/>
        </w:trPr>
        <w:tc>
          <w:tcPr>
            <w:tcW w:w="628" w:type="dxa"/>
            <w:vMerge w:val="continue"/>
            <w:vAlign w:val="center"/>
          </w:tcPr>
          <w:p w14:paraId="43FA8602">
            <w:pPr>
              <w:keepNext w:val="0"/>
              <w:keepLines w:val="0"/>
              <w:suppressLineNumbers w:val="0"/>
              <w:autoSpaceDE w:val="0"/>
              <w:autoSpaceDN w:val="0"/>
              <w:spacing w:before="0" w:beforeAutospacing="0" w:after="0" w:afterAutospacing="0"/>
              <w:ind w:left="0" w:right="0"/>
              <w:rPr>
                <w:rFonts w:hint="eastAsia" w:ascii="宋体" w:hAnsi="宋体" w:eastAsia="宋体" w:cs="宋体"/>
                <w:color w:val="auto"/>
                <w:kern w:val="0"/>
                <w:sz w:val="21"/>
                <w:szCs w:val="21"/>
              </w:rPr>
            </w:pPr>
          </w:p>
        </w:tc>
        <w:tc>
          <w:tcPr>
            <w:tcW w:w="659" w:type="dxa"/>
            <w:vMerge w:val="continue"/>
            <w:vAlign w:val="center"/>
          </w:tcPr>
          <w:p w14:paraId="66B58714">
            <w:pPr>
              <w:keepNext w:val="0"/>
              <w:keepLines w:val="0"/>
              <w:suppressLineNumbers w:val="0"/>
              <w:autoSpaceDE w:val="0"/>
              <w:autoSpaceDN w:val="0"/>
              <w:spacing w:before="0" w:beforeAutospacing="0" w:after="0" w:afterAutospacing="0"/>
              <w:ind w:left="0" w:right="0"/>
              <w:rPr>
                <w:rFonts w:hint="eastAsia" w:ascii="宋体" w:hAnsi="宋体" w:eastAsia="宋体" w:cs="宋体"/>
                <w:color w:val="000000"/>
                <w:kern w:val="0"/>
                <w:sz w:val="21"/>
                <w:szCs w:val="21"/>
                <w:highlight w:val="none"/>
              </w:rPr>
            </w:pPr>
          </w:p>
        </w:tc>
        <w:tc>
          <w:tcPr>
            <w:tcW w:w="545" w:type="dxa"/>
            <w:vMerge w:val="continue"/>
            <w:vAlign w:val="center"/>
          </w:tcPr>
          <w:p w14:paraId="522E621B">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000000"/>
                <w:kern w:val="0"/>
                <w:sz w:val="21"/>
                <w:szCs w:val="21"/>
                <w:highlight w:val="none"/>
              </w:rPr>
            </w:pPr>
          </w:p>
        </w:tc>
        <w:tc>
          <w:tcPr>
            <w:tcW w:w="871" w:type="dxa"/>
            <w:vMerge w:val="continue"/>
            <w:tcBorders>
              <w:right w:val="single" w:color="auto" w:sz="4" w:space="0"/>
            </w:tcBorders>
            <w:vAlign w:val="center"/>
          </w:tcPr>
          <w:p w14:paraId="04FF8DA0">
            <w:pPr>
              <w:keepNext w:val="0"/>
              <w:keepLines w:val="0"/>
              <w:suppressLineNumbers w:val="0"/>
              <w:autoSpaceDE w:val="0"/>
              <w:autoSpaceDN w:val="0"/>
              <w:spacing w:before="0" w:beforeAutospacing="0" w:after="0" w:afterAutospacing="0"/>
              <w:ind w:left="0" w:right="0"/>
              <w:rPr>
                <w:rFonts w:hint="eastAsia" w:ascii="宋体" w:hAnsi="宋体" w:eastAsia="宋体" w:cs="宋体"/>
                <w:color w:val="000000"/>
                <w:kern w:val="0"/>
                <w:sz w:val="21"/>
                <w:szCs w:val="21"/>
                <w:highlight w:val="none"/>
              </w:rPr>
            </w:pPr>
          </w:p>
        </w:tc>
        <w:tc>
          <w:tcPr>
            <w:tcW w:w="706" w:type="dxa"/>
            <w:vMerge w:val="restart"/>
            <w:tcBorders>
              <w:top w:val="single" w:color="auto" w:sz="4" w:space="0"/>
              <w:left w:val="single" w:color="auto" w:sz="4" w:space="0"/>
              <w:right w:val="single" w:color="auto" w:sz="4" w:space="0"/>
            </w:tcBorders>
            <w:vAlign w:val="center"/>
          </w:tcPr>
          <w:p w14:paraId="7C6B5F23">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加分</w:t>
            </w:r>
          </w:p>
        </w:tc>
        <w:tc>
          <w:tcPr>
            <w:tcW w:w="565" w:type="dxa"/>
            <w:vMerge w:val="restart"/>
            <w:tcBorders>
              <w:top w:val="single" w:color="auto" w:sz="4" w:space="0"/>
              <w:left w:val="single" w:color="auto" w:sz="4" w:space="0"/>
              <w:right w:val="single" w:color="auto" w:sz="4" w:space="0"/>
            </w:tcBorders>
            <w:vAlign w:val="center"/>
          </w:tcPr>
          <w:p w14:paraId="0F233A08">
            <w:pPr>
              <w:pStyle w:val="6"/>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highlight w:val="none"/>
              </w:rPr>
            </w:pPr>
            <w:r>
              <w:rPr>
                <w:rFonts w:hint="eastAsia" w:cs="宋体"/>
                <w:color w:val="000000"/>
                <w:spacing w:val="0"/>
                <w:w w:val="100"/>
                <w:kern w:val="2"/>
                <w:sz w:val="21"/>
                <w:szCs w:val="21"/>
                <w:highlight w:val="none"/>
                <w:lang w:val="en-US" w:eastAsia="zh" w:bidi="ar-SA"/>
              </w:rPr>
              <w:t>4</w:t>
            </w:r>
            <w:r>
              <w:rPr>
                <w:rFonts w:hint="eastAsia" w:ascii="宋体" w:hAnsi="宋体" w:eastAsia="宋体" w:cs="宋体"/>
                <w:color w:val="000000"/>
                <w:spacing w:val="0"/>
                <w:w w:val="100"/>
                <w:kern w:val="2"/>
                <w:sz w:val="21"/>
                <w:szCs w:val="21"/>
                <w:highlight w:val="none"/>
                <w:lang w:val="en-US" w:eastAsia="zh-CN" w:bidi="ar-SA"/>
              </w:rPr>
              <w:t>分</w:t>
            </w:r>
          </w:p>
        </w:tc>
        <w:tc>
          <w:tcPr>
            <w:tcW w:w="5510" w:type="dxa"/>
            <w:tcBorders>
              <w:top w:val="single" w:color="auto" w:sz="4" w:space="0"/>
              <w:left w:val="single" w:color="auto" w:sz="4" w:space="0"/>
            </w:tcBorders>
            <w:vAlign w:val="center"/>
          </w:tcPr>
          <w:p w14:paraId="68058851">
            <w:pPr>
              <w:keepNext w:val="0"/>
              <w:keepLines w:val="0"/>
              <w:suppressLineNumbers w:val="0"/>
              <w:snapToGrid w:val="0"/>
              <w:spacing w:before="0" w:beforeAutospacing="0" w:after="0" w:afterAutospacing="0" w:line="264" w:lineRule="auto"/>
              <w:ind w:left="0" w:right="0"/>
              <w:rPr>
                <w:rFonts w:hint="eastAsia" w:ascii="宋体" w:hAnsi="宋体"/>
                <w:color w:val="000000"/>
                <w:sz w:val="21"/>
                <w:szCs w:val="21"/>
                <w:highlight w:val="none"/>
                <w:lang w:eastAsia="zh-CN"/>
              </w:rPr>
            </w:pPr>
            <w:r>
              <w:rPr>
                <w:rFonts w:hint="eastAsia" w:ascii="宋体" w:hAnsi="宋体" w:cs="宋体"/>
                <w:color w:val="000000"/>
                <w:sz w:val="21"/>
                <w:szCs w:val="21"/>
                <w:highlight w:val="none"/>
                <w:lang w:eastAsia="zh"/>
              </w:rPr>
              <w:t>近</w:t>
            </w:r>
            <w:r>
              <w:rPr>
                <w:rFonts w:hint="eastAsia" w:ascii="宋体" w:hAnsi="宋体" w:cs="宋体"/>
                <w:color w:val="000000"/>
                <w:sz w:val="21"/>
                <w:szCs w:val="21"/>
                <w:highlight w:val="none"/>
                <w:lang w:val="en-US" w:eastAsia="zh-CN"/>
              </w:rPr>
              <w:t>5</w:t>
            </w:r>
            <w:r>
              <w:rPr>
                <w:rFonts w:hint="eastAsia" w:ascii="宋体" w:hAnsi="宋体" w:cs="宋体"/>
                <w:color w:val="000000"/>
                <w:sz w:val="21"/>
                <w:szCs w:val="21"/>
                <w:highlight w:val="none"/>
                <w:lang w:eastAsia="zh"/>
              </w:rPr>
              <w:t>年内（20</w:t>
            </w:r>
            <w:r>
              <w:rPr>
                <w:rFonts w:hint="eastAsia" w:ascii="宋体" w:hAnsi="宋体" w:cs="宋体"/>
                <w:color w:val="000000"/>
                <w:sz w:val="21"/>
                <w:szCs w:val="21"/>
                <w:highlight w:val="none"/>
                <w:lang w:val="en-US" w:eastAsia="zh-CN"/>
              </w:rPr>
              <w:t>19</w:t>
            </w:r>
            <w:r>
              <w:rPr>
                <w:rFonts w:hint="eastAsia" w:ascii="宋体" w:hAnsi="宋体" w:cs="宋体"/>
                <w:color w:val="000000"/>
                <w:sz w:val="21"/>
                <w:szCs w:val="21"/>
                <w:highlight w:val="none"/>
                <w:lang w:eastAsia="zh"/>
              </w:rPr>
              <w:t>年</w:t>
            </w:r>
            <w:r>
              <w:rPr>
                <w:rFonts w:hint="eastAsia" w:ascii="宋体" w:hAnsi="宋体" w:cs="宋体"/>
                <w:color w:val="000000"/>
                <w:sz w:val="21"/>
                <w:szCs w:val="21"/>
                <w:highlight w:val="none"/>
                <w:lang w:val="en-US" w:eastAsia="zh-CN"/>
              </w:rPr>
              <w:t>12月1日</w:t>
            </w:r>
            <w:r>
              <w:rPr>
                <w:rFonts w:hint="eastAsia" w:ascii="宋体" w:hAnsi="宋体" w:cs="宋体"/>
                <w:color w:val="000000"/>
                <w:sz w:val="21"/>
                <w:szCs w:val="21"/>
                <w:highlight w:val="none"/>
                <w:lang w:eastAsia="zh"/>
              </w:rPr>
              <w:t>至今）</w:t>
            </w:r>
            <w:r>
              <w:rPr>
                <w:rFonts w:hint="eastAsia" w:ascii="宋体" w:hAnsi="宋体" w:cs="宋体"/>
                <w:color w:val="000000"/>
                <w:sz w:val="21"/>
                <w:szCs w:val="21"/>
                <w:highlight w:val="none"/>
                <w:lang w:val="en-US" w:eastAsia="zh-CN"/>
              </w:rPr>
              <w:t>以合同签订时间为准，</w:t>
            </w:r>
            <w:r>
              <w:rPr>
                <w:rFonts w:hint="eastAsia" w:ascii="宋体" w:hAnsi="宋体" w:cs="宋体"/>
                <w:color w:val="000000"/>
                <w:sz w:val="21"/>
                <w:szCs w:val="21"/>
                <w:highlight w:val="none"/>
                <w:lang w:eastAsia="zh"/>
              </w:rPr>
              <w:t>每</w:t>
            </w:r>
            <w:r>
              <w:rPr>
                <w:rFonts w:hint="eastAsia" w:ascii="宋体" w:hAnsi="宋体" w:cs="宋体"/>
                <w:color w:val="000000"/>
                <w:sz w:val="21"/>
                <w:szCs w:val="21"/>
                <w:highlight w:val="none"/>
                <w:lang w:val="en-US" w:eastAsia="zh-CN"/>
              </w:rPr>
              <w:t>完成</w:t>
            </w:r>
            <w:r>
              <w:rPr>
                <w:rFonts w:hint="eastAsia" w:ascii="宋体" w:hAnsi="宋体" w:cs="宋体"/>
                <w:color w:val="000000"/>
                <w:sz w:val="21"/>
                <w:szCs w:val="21"/>
                <w:highlight w:val="none"/>
                <w:lang w:val="en-US" w:eastAsia="zh"/>
              </w:rPr>
              <w:t>1项</w:t>
            </w:r>
            <w:r>
              <w:rPr>
                <w:rFonts w:hint="eastAsia" w:ascii="宋体" w:hAnsi="宋体" w:cs="宋体"/>
                <w:color w:val="000000"/>
                <w:sz w:val="21"/>
                <w:szCs w:val="21"/>
                <w:highlight w:val="none"/>
                <w:lang w:val="en-US" w:eastAsia="zh-CN"/>
              </w:rPr>
              <w:t>省级及以上</w:t>
            </w:r>
            <w:r>
              <w:rPr>
                <w:rFonts w:hint="eastAsia" w:ascii="宋体" w:hAnsi="宋体" w:cs="宋体"/>
                <w:color w:val="000000"/>
                <w:sz w:val="21"/>
                <w:szCs w:val="21"/>
                <w:highlight w:val="none"/>
                <w:lang w:val="en-US" w:eastAsia="zh"/>
              </w:rPr>
              <w:t>交通运输类公路行业企业五年或中长期战略规划编制</w:t>
            </w:r>
            <w:r>
              <w:rPr>
                <w:rFonts w:hint="eastAsia" w:ascii="宋体" w:hAnsi="宋体" w:cs="宋体"/>
                <w:color w:val="000000"/>
                <w:sz w:val="21"/>
                <w:szCs w:val="21"/>
                <w:highlight w:val="none"/>
                <w:lang w:val="en-US" w:eastAsia="zh-CN"/>
              </w:rPr>
              <w:t>咨询</w:t>
            </w:r>
            <w:r>
              <w:rPr>
                <w:rFonts w:hint="eastAsia" w:ascii="宋体" w:hAnsi="宋体" w:cs="宋体"/>
                <w:color w:val="000000"/>
                <w:sz w:val="21"/>
                <w:szCs w:val="21"/>
                <w:highlight w:val="none"/>
                <w:lang w:val="en-US" w:eastAsia="zh"/>
              </w:rPr>
              <w:t>业绩</w:t>
            </w:r>
            <w:r>
              <w:rPr>
                <w:rFonts w:hint="eastAsia" w:ascii="宋体" w:hAnsi="宋体" w:cs="宋体"/>
                <w:color w:val="000000"/>
                <w:sz w:val="21"/>
                <w:szCs w:val="21"/>
                <w:highlight w:val="none"/>
                <w:lang w:val="en-US" w:eastAsia="zh-CN"/>
              </w:rPr>
              <w:t>的</w:t>
            </w:r>
            <w:r>
              <w:rPr>
                <w:rFonts w:hint="eastAsia" w:ascii="宋体" w:hAnsi="宋体" w:cs="宋体"/>
                <w:color w:val="000000"/>
                <w:sz w:val="21"/>
                <w:szCs w:val="21"/>
                <w:highlight w:val="none"/>
                <w:lang w:eastAsia="zh"/>
              </w:rPr>
              <w:t>加</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lang w:eastAsia="zh"/>
              </w:rPr>
              <w:t>分</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eastAsia="zh"/>
              </w:rPr>
              <w:t>最多加</w:t>
            </w: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lang w:eastAsia="zh"/>
              </w:rPr>
              <w:t>分。</w:t>
            </w:r>
          </w:p>
        </w:tc>
      </w:tr>
      <w:tr w14:paraId="2519D9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3" w:hRule="atLeast"/>
        </w:trPr>
        <w:tc>
          <w:tcPr>
            <w:tcW w:w="628" w:type="dxa"/>
            <w:vMerge w:val="continue"/>
            <w:vAlign w:val="center"/>
          </w:tcPr>
          <w:p w14:paraId="665AE973">
            <w:pPr>
              <w:keepNext w:val="0"/>
              <w:keepLines w:val="0"/>
              <w:suppressLineNumbers w:val="0"/>
              <w:snapToGrid w:val="0"/>
              <w:spacing w:before="0" w:beforeAutospacing="0" w:after="0" w:afterAutospacing="0" w:line="264" w:lineRule="auto"/>
              <w:ind w:left="0" w:right="0"/>
              <w:rPr>
                <w:rFonts w:hint="default"/>
              </w:rPr>
            </w:pPr>
          </w:p>
        </w:tc>
        <w:tc>
          <w:tcPr>
            <w:tcW w:w="659" w:type="dxa"/>
            <w:vMerge w:val="continue"/>
            <w:vAlign w:val="center"/>
          </w:tcPr>
          <w:p w14:paraId="6616C4B6">
            <w:pPr>
              <w:keepNext w:val="0"/>
              <w:keepLines w:val="0"/>
              <w:suppressLineNumbers w:val="0"/>
              <w:snapToGrid w:val="0"/>
              <w:spacing w:before="0" w:beforeAutospacing="0" w:after="0" w:afterAutospacing="0" w:line="264" w:lineRule="auto"/>
              <w:ind w:left="0" w:right="0"/>
              <w:rPr>
                <w:rFonts w:hint="default"/>
                <w:highlight w:val="none"/>
              </w:rPr>
            </w:pPr>
          </w:p>
        </w:tc>
        <w:tc>
          <w:tcPr>
            <w:tcW w:w="545" w:type="dxa"/>
            <w:vMerge w:val="continue"/>
            <w:vAlign w:val="center"/>
          </w:tcPr>
          <w:p w14:paraId="11FD6761">
            <w:pPr>
              <w:keepNext w:val="0"/>
              <w:keepLines w:val="0"/>
              <w:suppressLineNumbers w:val="0"/>
              <w:snapToGrid w:val="0"/>
              <w:spacing w:before="0" w:beforeAutospacing="0" w:after="0" w:afterAutospacing="0" w:line="264" w:lineRule="auto"/>
              <w:ind w:left="0" w:right="0"/>
              <w:rPr>
                <w:rFonts w:hint="default"/>
                <w:highlight w:val="none"/>
              </w:rPr>
            </w:pPr>
          </w:p>
        </w:tc>
        <w:tc>
          <w:tcPr>
            <w:tcW w:w="871" w:type="dxa"/>
            <w:vMerge w:val="continue"/>
            <w:tcBorders>
              <w:right w:val="single" w:color="auto" w:sz="4" w:space="0"/>
            </w:tcBorders>
            <w:vAlign w:val="center"/>
          </w:tcPr>
          <w:p w14:paraId="327B14BF">
            <w:pPr>
              <w:keepNext w:val="0"/>
              <w:keepLines w:val="0"/>
              <w:suppressLineNumbers w:val="0"/>
              <w:snapToGrid w:val="0"/>
              <w:spacing w:before="0" w:beforeAutospacing="0" w:after="0" w:afterAutospacing="0" w:line="264" w:lineRule="auto"/>
              <w:ind w:left="0" w:right="0"/>
              <w:rPr>
                <w:rFonts w:hint="default"/>
                <w:highlight w:val="none"/>
              </w:rPr>
            </w:pPr>
          </w:p>
        </w:tc>
        <w:tc>
          <w:tcPr>
            <w:tcW w:w="706" w:type="dxa"/>
            <w:vMerge w:val="continue"/>
            <w:tcBorders>
              <w:left w:val="single" w:color="auto" w:sz="4" w:space="0"/>
              <w:right w:val="single" w:color="auto" w:sz="4" w:space="0"/>
            </w:tcBorders>
            <w:vAlign w:val="center"/>
          </w:tcPr>
          <w:p w14:paraId="1EAD7442">
            <w:pPr>
              <w:keepNext w:val="0"/>
              <w:keepLines w:val="0"/>
              <w:suppressLineNumbers w:val="0"/>
              <w:snapToGrid w:val="0"/>
              <w:spacing w:before="0" w:beforeAutospacing="0" w:after="0" w:afterAutospacing="0" w:line="264" w:lineRule="auto"/>
              <w:ind w:left="0" w:right="0"/>
              <w:rPr>
                <w:rFonts w:hint="default"/>
                <w:highlight w:val="none"/>
              </w:rPr>
            </w:pPr>
          </w:p>
        </w:tc>
        <w:tc>
          <w:tcPr>
            <w:tcW w:w="565" w:type="dxa"/>
            <w:vMerge w:val="continue"/>
            <w:tcBorders>
              <w:left w:val="single" w:color="auto" w:sz="4" w:space="0"/>
              <w:right w:val="single" w:color="auto" w:sz="4" w:space="0"/>
            </w:tcBorders>
            <w:vAlign w:val="center"/>
          </w:tcPr>
          <w:p w14:paraId="7F14024F">
            <w:pPr>
              <w:keepNext w:val="0"/>
              <w:keepLines w:val="0"/>
              <w:suppressLineNumbers w:val="0"/>
              <w:snapToGrid w:val="0"/>
              <w:spacing w:before="0" w:beforeAutospacing="0" w:after="0" w:afterAutospacing="0" w:line="264" w:lineRule="auto"/>
              <w:ind w:left="0" w:right="0"/>
              <w:rPr>
                <w:rFonts w:hint="default"/>
                <w:highlight w:val="none"/>
              </w:rPr>
            </w:pPr>
          </w:p>
        </w:tc>
        <w:tc>
          <w:tcPr>
            <w:tcW w:w="5510" w:type="dxa"/>
            <w:tcBorders>
              <w:top w:val="single" w:color="auto" w:sz="4" w:space="0"/>
              <w:left w:val="single" w:color="auto" w:sz="4" w:space="0"/>
            </w:tcBorders>
            <w:vAlign w:val="center"/>
          </w:tcPr>
          <w:p w14:paraId="1F7E1875">
            <w:pPr>
              <w:keepNext w:val="0"/>
              <w:keepLines w:val="0"/>
              <w:suppressLineNumbers w:val="0"/>
              <w:snapToGrid w:val="0"/>
              <w:spacing w:before="0" w:beforeAutospacing="0" w:after="0" w:afterAutospacing="0" w:line="264" w:lineRule="auto"/>
              <w:ind w:left="0" w:right="0"/>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拟投入本项目的项目总监为投标人副总经理/副总裁（或其它同等职位）及以上的，加2分；本项最多加2分。</w:t>
            </w:r>
          </w:p>
        </w:tc>
      </w:tr>
      <w:tr w14:paraId="165AB6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86" w:hRule="atLeast"/>
        </w:trPr>
        <w:tc>
          <w:tcPr>
            <w:tcW w:w="628" w:type="dxa"/>
            <w:vMerge w:val="continue"/>
            <w:vAlign w:val="center"/>
          </w:tcPr>
          <w:p w14:paraId="0B587A52">
            <w:pPr>
              <w:keepNext w:val="0"/>
              <w:keepLines w:val="0"/>
              <w:suppressLineNumbers w:val="0"/>
              <w:autoSpaceDE w:val="0"/>
              <w:autoSpaceDN w:val="0"/>
              <w:spacing w:before="0" w:beforeAutospacing="0" w:after="0" w:afterAutospacing="0"/>
              <w:ind w:left="0" w:right="0"/>
              <w:rPr>
                <w:rFonts w:hint="eastAsia" w:ascii="宋体" w:hAnsi="宋体" w:eastAsia="宋体" w:cs="宋体"/>
                <w:color w:val="auto"/>
                <w:kern w:val="0"/>
                <w:sz w:val="21"/>
                <w:szCs w:val="21"/>
              </w:rPr>
            </w:pPr>
          </w:p>
        </w:tc>
        <w:tc>
          <w:tcPr>
            <w:tcW w:w="659" w:type="dxa"/>
            <w:vMerge w:val="continue"/>
            <w:vAlign w:val="center"/>
          </w:tcPr>
          <w:p w14:paraId="7967175F">
            <w:pPr>
              <w:keepNext w:val="0"/>
              <w:keepLines w:val="0"/>
              <w:suppressLineNumbers w:val="0"/>
              <w:autoSpaceDE w:val="0"/>
              <w:autoSpaceDN w:val="0"/>
              <w:spacing w:before="0" w:beforeAutospacing="0" w:after="0" w:afterAutospacing="0"/>
              <w:ind w:left="0" w:right="0"/>
              <w:rPr>
                <w:rFonts w:hint="eastAsia" w:ascii="宋体" w:hAnsi="宋体" w:eastAsia="宋体" w:cs="宋体"/>
                <w:color w:val="000000"/>
                <w:kern w:val="0"/>
                <w:sz w:val="21"/>
                <w:szCs w:val="21"/>
                <w:highlight w:val="none"/>
              </w:rPr>
            </w:pPr>
          </w:p>
        </w:tc>
        <w:tc>
          <w:tcPr>
            <w:tcW w:w="545" w:type="dxa"/>
            <w:vMerge w:val="continue"/>
            <w:vAlign w:val="center"/>
          </w:tcPr>
          <w:p w14:paraId="2D3C3AF8">
            <w:pPr>
              <w:keepNext w:val="0"/>
              <w:keepLines w:val="0"/>
              <w:suppressLineNumbers w:val="0"/>
              <w:autoSpaceDE w:val="0"/>
              <w:autoSpaceDN w:val="0"/>
              <w:spacing w:before="0" w:beforeAutospacing="0" w:after="0" w:afterAutospacing="0"/>
              <w:ind w:left="0" w:right="0"/>
              <w:jc w:val="center"/>
              <w:rPr>
                <w:rFonts w:hint="eastAsia" w:ascii="宋体" w:hAnsi="宋体" w:cs="宋体"/>
                <w:color w:val="000000"/>
                <w:kern w:val="0"/>
                <w:sz w:val="21"/>
                <w:szCs w:val="21"/>
                <w:highlight w:val="none"/>
                <w:lang w:val="en-US" w:eastAsia="zh-CN"/>
              </w:rPr>
            </w:pPr>
          </w:p>
        </w:tc>
        <w:tc>
          <w:tcPr>
            <w:tcW w:w="871" w:type="dxa"/>
            <w:vMerge w:val="restart"/>
            <w:tcBorders>
              <w:right w:val="single" w:color="auto" w:sz="4" w:space="0"/>
            </w:tcBorders>
            <w:vAlign w:val="center"/>
          </w:tcPr>
          <w:p w14:paraId="7B0DAEA0">
            <w:pPr>
              <w:keepNext w:val="0"/>
              <w:keepLines w:val="0"/>
              <w:suppressLineNumbers w:val="0"/>
              <w:tabs>
                <w:tab w:val="left" w:pos="504"/>
              </w:tabs>
              <w:adjustRightInd w:val="0"/>
              <w:snapToGrid w:val="0"/>
              <w:spacing w:before="0" w:beforeAutospacing="0" w:after="0" w:afterAutospacing="0" w:line="360" w:lineRule="exact"/>
              <w:ind w:left="0" w:right="0"/>
              <w:jc w:val="center"/>
              <w:rPr>
                <w:rFonts w:hint="eastAsia" w:ascii="宋体" w:hAnsi="宋体"/>
                <w:szCs w:val="21"/>
                <w:highlight w:val="none"/>
                <w:lang w:eastAsia="zh-CN"/>
              </w:rPr>
            </w:pPr>
            <w:r>
              <w:rPr>
                <w:rFonts w:hint="eastAsia" w:ascii="宋体" w:hAnsi="宋体"/>
                <w:szCs w:val="21"/>
                <w:highlight w:val="none"/>
                <w:lang w:eastAsia="zh-CN"/>
              </w:rPr>
              <w:t>项目负责人</w:t>
            </w:r>
          </w:p>
          <w:p w14:paraId="5798AC7C">
            <w:pPr>
              <w:keepNext w:val="0"/>
              <w:keepLines w:val="0"/>
              <w:suppressLineNumbers w:val="0"/>
              <w:autoSpaceDE w:val="0"/>
              <w:autoSpaceDN w:val="0"/>
              <w:spacing w:before="0" w:beforeAutospacing="0" w:after="0" w:afterAutospacing="0"/>
              <w:ind w:left="0" w:right="0"/>
              <w:rPr>
                <w:rFonts w:hint="eastAsia" w:ascii="宋体" w:hAnsi="宋体" w:eastAsia="宋体" w:cs="宋体"/>
                <w:color w:val="000000"/>
                <w:kern w:val="0"/>
                <w:sz w:val="21"/>
                <w:szCs w:val="21"/>
                <w:highlight w:val="none"/>
                <w:lang w:eastAsia="zh"/>
              </w:rPr>
            </w:pPr>
            <w:r>
              <w:rPr>
                <w:rFonts w:hint="eastAsia" w:ascii="宋体" w:hAnsi="宋体" w:cs="宋体"/>
                <w:color w:val="000000"/>
                <w:kern w:val="0"/>
                <w:sz w:val="21"/>
                <w:szCs w:val="21"/>
                <w:highlight w:val="none"/>
                <w:lang w:eastAsia="zh"/>
              </w:rPr>
              <w:t>（10分）</w:t>
            </w:r>
          </w:p>
        </w:tc>
        <w:tc>
          <w:tcPr>
            <w:tcW w:w="706" w:type="dxa"/>
            <w:tcBorders>
              <w:top w:val="single" w:color="auto" w:sz="4" w:space="0"/>
              <w:left w:val="single" w:color="auto" w:sz="4" w:space="0"/>
              <w:right w:val="single" w:color="auto" w:sz="4" w:space="0"/>
            </w:tcBorders>
            <w:vAlign w:val="center"/>
          </w:tcPr>
          <w:p w14:paraId="561F7848">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满足资格审查条件</w:t>
            </w:r>
          </w:p>
        </w:tc>
        <w:tc>
          <w:tcPr>
            <w:tcW w:w="565" w:type="dxa"/>
            <w:tcBorders>
              <w:top w:val="single" w:color="auto" w:sz="4" w:space="0"/>
              <w:left w:val="single" w:color="auto" w:sz="4" w:space="0"/>
              <w:right w:val="single" w:color="auto" w:sz="4" w:space="0"/>
            </w:tcBorders>
            <w:vAlign w:val="center"/>
          </w:tcPr>
          <w:p w14:paraId="5EC9ED78">
            <w:pPr>
              <w:pStyle w:val="6"/>
              <w:keepNext w:val="0"/>
              <w:keepLines w:val="0"/>
              <w:suppressLineNumbers w:val="0"/>
              <w:spacing w:before="0" w:beforeAutospacing="0" w:after="0" w:afterAutospacing="0"/>
              <w:ind w:left="0" w:right="0"/>
              <w:jc w:val="center"/>
              <w:rPr>
                <w:rFonts w:hint="eastAsia" w:ascii="宋体" w:hAnsi="宋体" w:eastAsia="宋体" w:cs="Times New Roman"/>
                <w:color w:val="000000"/>
                <w:spacing w:val="0"/>
                <w:w w:val="100"/>
                <w:kern w:val="2"/>
                <w:sz w:val="21"/>
                <w:szCs w:val="21"/>
                <w:highlight w:val="none"/>
                <w:lang w:val="en-US" w:eastAsia="zh-CN" w:bidi="ar-SA"/>
              </w:rPr>
            </w:pPr>
            <w:r>
              <w:rPr>
                <w:rFonts w:hint="eastAsia" w:cs="宋体"/>
                <w:color w:val="000000"/>
                <w:spacing w:val="0"/>
                <w:w w:val="100"/>
                <w:kern w:val="2"/>
                <w:sz w:val="21"/>
                <w:szCs w:val="21"/>
                <w:highlight w:val="none"/>
                <w:lang w:val="en-US" w:eastAsia="zh" w:bidi="ar-SA"/>
              </w:rPr>
              <w:t>6</w:t>
            </w:r>
            <w:r>
              <w:rPr>
                <w:rFonts w:hint="eastAsia" w:ascii="宋体" w:hAnsi="宋体" w:eastAsia="宋体" w:cs="宋体"/>
                <w:color w:val="000000"/>
                <w:spacing w:val="0"/>
                <w:w w:val="100"/>
                <w:kern w:val="2"/>
                <w:sz w:val="21"/>
                <w:szCs w:val="21"/>
                <w:highlight w:val="none"/>
                <w:lang w:val="en-US" w:eastAsia="zh-CN" w:bidi="ar-SA"/>
              </w:rPr>
              <w:t>分</w:t>
            </w:r>
          </w:p>
        </w:tc>
        <w:tc>
          <w:tcPr>
            <w:tcW w:w="5510" w:type="dxa"/>
            <w:tcBorders>
              <w:top w:val="single" w:color="auto" w:sz="4" w:space="0"/>
              <w:left w:val="single" w:color="auto" w:sz="4" w:space="0"/>
            </w:tcBorders>
            <w:vAlign w:val="center"/>
          </w:tcPr>
          <w:p w14:paraId="53C20E66">
            <w:pPr>
              <w:pStyle w:val="6"/>
              <w:keepNext w:val="0"/>
              <w:keepLines w:val="0"/>
              <w:suppressLineNumbers w:val="0"/>
              <w:spacing w:before="0" w:beforeAutospacing="0" w:after="0" w:afterAutospacing="0"/>
              <w:ind w:left="0" w:right="0"/>
              <w:rPr>
                <w:rFonts w:hint="eastAsia" w:ascii="宋体" w:hAnsi="宋体" w:eastAsia="宋体" w:cs="Times New Roman"/>
                <w:color w:val="000000"/>
                <w:spacing w:val="0"/>
                <w:w w:val="100"/>
                <w:kern w:val="2"/>
                <w:sz w:val="21"/>
                <w:szCs w:val="21"/>
                <w:highlight w:val="none"/>
                <w:lang w:val="en-US" w:eastAsia="zh-CN" w:bidi="ar-SA"/>
              </w:rPr>
            </w:pPr>
            <w:r>
              <w:rPr>
                <w:rFonts w:hint="eastAsia" w:ascii="宋体" w:hAnsi="宋体" w:eastAsia="宋体" w:cs="Times New Roman"/>
                <w:color w:val="000000"/>
                <w:spacing w:val="0"/>
                <w:w w:val="100"/>
                <w:kern w:val="2"/>
                <w:sz w:val="21"/>
                <w:szCs w:val="21"/>
                <w:highlight w:val="none"/>
                <w:lang w:val="en-US" w:eastAsia="zh-CN" w:bidi="ar-SA"/>
              </w:rPr>
              <w:t>满足资格审查条件，得分</w:t>
            </w:r>
            <w:r>
              <w:rPr>
                <w:rFonts w:hint="eastAsia" w:cs="Times New Roman"/>
                <w:color w:val="000000"/>
                <w:spacing w:val="0"/>
                <w:w w:val="100"/>
                <w:kern w:val="2"/>
                <w:sz w:val="21"/>
                <w:szCs w:val="21"/>
                <w:highlight w:val="none"/>
                <w:lang w:val="en-US" w:eastAsia="zh" w:bidi="ar-SA"/>
              </w:rPr>
              <w:t>6分</w:t>
            </w:r>
            <w:r>
              <w:rPr>
                <w:rFonts w:hint="eastAsia" w:cs="Times New Roman"/>
                <w:color w:val="000000"/>
                <w:spacing w:val="0"/>
                <w:w w:val="100"/>
                <w:kern w:val="2"/>
                <w:sz w:val="21"/>
                <w:szCs w:val="21"/>
                <w:highlight w:val="none"/>
                <w:lang w:val="en-US" w:eastAsia="zh-CN" w:bidi="ar-SA"/>
              </w:rPr>
              <w:t>。</w:t>
            </w:r>
          </w:p>
        </w:tc>
      </w:tr>
      <w:tr w14:paraId="0CA0E3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58" w:hRule="atLeast"/>
        </w:trPr>
        <w:tc>
          <w:tcPr>
            <w:tcW w:w="628" w:type="dxa"/>
            <w:vMerge w:val="continue"/>
            <w:vAlign w:val="center"/>
          </w:tcPr>
          <w:p w14:paraId="16E920A3">
            <w:pPr>
              <w:keepNext w:val="0"/>
              <w:keepLines w:val="0"/>
              <w:suppressLineNumbers w:val="0"/>
              <w:autoSpaceDE w:val="0"/>
              <w:autoSpaceDN w:val="0"/>
              <w:spacing w:before="0" w:beforeAutospacing="0" w:after="0" w:afterAutospacing="0"/>
              <w:ind w:left="0" w:right="0"/>
              <w:rPr>
                <w:rFonts w:hint="eastAsia" w:ascii="宋体" w:hAnsi="宋体" w:eastAsia="宋体" w:cs="宋体"/>
                <w:color w:val="auto"/>
                <w:kern w:val="0"/>
                <w:sz w:val="21"/>
                <w:szCs w:val="21"/>
              </w:rPr>
            </w:pPr>
          </w:p>
        </w:tc>
        <w:tc>
          <w:tcPr>
            <w:tcW w:w="659" w:type="dxa"/>
            <w:vMerge w:val="continue"/>
            <w:vAlign w:val="center"/>
          </w:tcPr>
          <w:p w14:paraId="31F5EC86">
            <w:pPr>
              <w:keepNext w:val="0"/>
              <w:keepLines w:val="0"/>
              <w:suppressLineNumbers w:val="0"/>
              <w:autoSpaceDE w:val="0"/>
              <w:autoSpaceDN w:val="0"/>
              <w:spacing w:before="0" w:beforeAutospacing="0" w:after="0" w:afterAutospacing="0"/>
              <w:ind w:left="0" w:right="0"/>
              <w:rPr>
                <w:rFonts w:hint="eastAsia" w:ascii="宋体" w:hAnsi="宋体" w:eastAsia="宋体" w:cs="宋体"/>
                <w:color w:val="000000"/>
                <w:kern w:val="0"/>
                <w:sz w:val="20"/>
                <w:szCs w:val="20"/>
                <w:highlight w:val="none"/>
              </w:rPr>
            </w:pPr>
          </w:p>
        </w:tc>
        <w:tc>
          <w:tcPr>
            <w:tcW w:w="545" w:type="dxa"/>
            <w:vMerge w:val="continue"/>
            <w:vAlign w:val="center"/>
          </w:tcPr>
          <w:p w14:paraId="1EB326D6">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000000"/>
                <w:kern w:val="0"/>
                <w:sz w:val="21"/>
                <w:szCs w:val="21"/>
                <w:highlight w:val="none"/>
              </w:rPr>
            </w:pPr>
          </w:p>
        </w:tc>
        <w:tc>
          <w:tcPr>
            <w:tcW w:w="871" w:type="dxa"/>
            <w:vMerge w:val="continue"/>
            <w:tcBorders>
              <w:right w:val="single" w:color="auto" w:sz="4" w:space="0"/>
            </w:tcBorders>
            <w:vAlign w:val="center"/>
          </w:tcPr>
          <w:p w14:paraId="6586360E">
            <w:pPr>
              <w:keepNext w:val="0"/>
              <w:keepLines w:val="0"/>
              <w:suppressLineNumbers w:val="0"/>
              <w:autoSpaceDE w:val="0"/>
              <w:autoSpaceDN w:val="0"/>
              <w:spacing w:before="0" w:beforeAutospacing="0" w:after="0" w:afterAutospacing="0"/>
              <w:ind w:left="0" w:right="0"/>
              <w:rPr>
                <w:rFonts w:hint="eastAsia" w:ascii="宋体" w:hAnsi="宋体" w:eastAsia="宋体" w:cs="宋体"/>
                <w:color w:val="000000"/>
                <w:kern w:val="0"/>
                <w:sz w:val="21"/>
                <w:szCs w:val="21"/>
                <w:highlight w:val="none"/>
              </w:rPr>
            </w:pPr>
          </w:p>
        </w:tc>
        <w:tc>
          <w:tcPr>
            <w:tcW w:w="706" w:type="dxa"/>
            <w:tcBorders>
              <w:top w:val="single" w:color="auto" w:sz="4" w:space="0"/>
              <w:left w:val="single" w:color="auto" w:sz="4" w:space="0"/>
              <w:right w:val="single" w:color="auto" w:sz="4" w:space="0"/>
            </w:tcBorders>
            <w:vAlign w:val="center"/>
          </w:tcPr>
          <w:p w14:paraId="251A251E">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加分</w:t>
            </w:r>
          </w:p>
        </w:tc>
        <w:tc>
          <w:tcPr>
            <w:tcW w:w="565" w:type="dxa"/>
            <w:tcBorders>
              <w:top w:val="single" w:color="auto" w:sz="4" w:space="0"/>
              <w:left w:val="single" w:color="auto" w:sz="4" w:space="0"/>
              <w:right w:val="single" w:color="auto" w:sz="4" w:space="0"/>
            </w:tcBorders>
            <w:vAlign w:val="center"/>
          </w:tcPr>
          <w:p w14:paraId="076BD0E7">
            <w:pPr>
              <w:pStyle w:val="6"/>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highlight w:val="none"/>
              </w:rPr>
            </w:pPr>
            <w:r>
              <w:rPr>
                <w:rFonts w:hint="eastAsia" w:cs="Times New Roman"/>
                <w:color w:val="000000"/>
                <w:spacing w:val="0"/>
                <w:w w:val="100"/>
                <w:kern w:val="2"/>
                <w:sz w:val="21"/>
                <w:szCs w:val="21"/>
                <w:highlight w:val="none"/>
                <w:lang w:val="en-US" w:eastAsia="zh" w:bidi="ar-SA"/>
              </w:rPr>
              <w:t>4</w:t>
            </w:r>
            <w:r>
              <w:rPr>
                <w:rFonts w:hint="eastAsia" w:ascii="宋体" w:hAnsi="宋体" w:eastAsia="宋体" w:cs="Times New Roman"/>
                <w:color w:val="000000"/>
                <w:spacing w:val="0"/>
                <w:w w:val="100"/>
                <w:kern w:val="2"/>
                <w:sz w:val="21"/>
                <w:szCs w:val="21"/>
                <w:highlight w:val="none"/>
                <w:lang w:val="en-US" w:eastAsia="zh-CN" w:bidi="ar-SA"/>
              </w:rPr>
              <w:t>分</w:t>
            </w:r>
          </w:p>
        </w:tc>
        <w:tc>
          <w:tcPr>
            <w:tcW w:w="5510" w:type="dxa"/>
            <w:tcBorders>
              <w:top w:val="single" w:color="auto" w:sz="4" w:space="0"/>
              <w:left w:val="single" w:color="auto" w:sz="4" w:space="0"/>
            </w:tcBorders>
            <w:vAlign w:val="center"/>
          </w:tcPr>
          <w:p w14:paraId="7FCD647E">
            <w:pPr>
              <w:keepNext w:val="0"/>
              <w:keepLines w:val="0"/>
              <w:suppressLineNumbers w:val="0"/>
              <w:snapToGrid w:val="0"/>
              <w:spacing w:before="0" w:beforeAutospacing="0" w:after="0" w:afterAutospacing="0" w:line="264" w:lineRule="auto"/>
              <w:ind w:left="0" w:right="0"/>
              <w:rPr>
                <w:rFonts w:hint="eastAsia" w:ascii="宋体" w:hAnsi="宋体"/>
                <w:color w:val="000000"/>
                <w:sz w:val="21"/>
                <w:szCs w:val="21"/>
                <w:highlight w:val="none"/>
                <w:lang w:eastAsia="zh-CN"/>
              </w:rPr>
            </w:pPr>
            <w:r>
              <w:rPr>
                <w:rFonts w:hint="eastAsia" w:ascii="宋体" w:hAnsi="宋体"/>
                <w:color w:val="000000"/>
                <w:sz w:val="21"/>
                <w:szCs w:val="21"/>
                <w:highlight w:val="none"/>
                <w:lang w:eastAsia="zh"/>
              </w:rPr>
              <w:t>近</w:t>
            </w:r>
            <w:r>
              <w:rPr>
                <w:rFonts w:hint="eastAsia" w:ascii="宋体" w:hAnsi="宋体"/>
                <w:color w:val="000000"/>
                <w:sz w:val="21"/>
                <w:szCs w:val="21"/>
                <w:highlight w:val="none"/>
                <w:lang w:val="en-US" w:eastAsia="zh"/>
              </w:rPr>
              <w:t>5</w:t>
            </w:r>
            <w:r>
              <w:rPr>
                <w:rFonts w:hint="eastAsia" w:ascii="宋体" w:hAnsi="宋体"/>
                <w:color w:val="000000"/>
                <w:sz w:val="21"/>
                <w:szCs w:val="21"/>
                <w:highlight w:val="none"/>
                <w:lang w:eastAsia="zh"/>
              </w:rPr>
              <w:t>年内（20</w:t>
            </w:r>
            <w:r>
              <w:rPr>
                <w:rFonts w:hint="eastAsia" w:ascii="宋体" w:hAnsi="宋体"/>
                <w:color w:val="000000"/>
                <w:sz w:val="21"/>
                <w:szCs w:val="21"/>
                <w:highlight w:val="none"/>
                <w:lang w:val="en-US" w:eastAsia="zh"/>
              </w:rPr>
              <w:t>19</w:t>
            </w:r>
            <w:r>
              <w:rPr>
                <w:rFonts w:hint="eastAsia" w:ascii="宋体" w:hAnsi="宋体"/>
                <w:color w:val="000000"/>
                <w:sz w:val="21"/>
                <w:szCs w:val="21"/>
                <w:highlight w:val="none"/>
                <w:lang w:eastAsia="zh"/>
              </w:rPr>
              <w:t>年</w:t>
            </w:r>
            <w:r>
              <w:rPr>
                <w:rFonts w:hint="eastAsia" w:ascii="宋体" w:hAnsi="宋体"/>
                <w:color w:val="000000"/>
                <w:sz w:val="21"/>
                <w:szCs w:val="21"/>
                <w:highlight w:val="none"/>
                <w:lang w:val="en-US" w:eastAsia="zh-CN"/>
              </w:rPr>
              <w:t>12月1日</w:t>
            </w:r>
            <w:r>
              <w:rPr>
                <w:rFonts w:hint="eastAsia" w:ascii="宋体" w:hAnsi="宋体"/>
                <w:color w:val="000000"/>
                <w:sz w:val="21"/>
                <w:szCs w:val="21"/>
                <w:highlight w:val="none"/>
                <w:lang w:eastAsia="zh"/>
              </w:rPr>
              <w:t>至今）</w:t>
            </w:r>
            <w:r>
              <w:rPr>
                <w:rFonts w:hint="eastAsia" w:ascii="宋体" w:hAnsi="宋体"/>
                <w:color w:val="000000"/>
                <w:sz w:val="21"/>
                <w:szCs w:val="21"/>
                <w:highlight w:val="none"/>
                <w:lang w:val="en-US" w:eastAsia="zh-CN"/>
              </w:rPr>
              <w:t>以合同签订时间为准，</w:t>
            </w:r>
            <w:r>
              <w:rPr>
                <w:rFonts w:hint="eastAsia" w:ascii="宋体" w:hAnsi="宋体" w:cs="宋体"/>
                <w:color w:val="000000"/>
                <w:sz w:val="21"/>
                <w:szCs w:val="21"/>
                <w:highlight w:val="none"/>
                <w:lang w:eastAsia="zh"/>
              </w:rPr>
              <w:t>每</w:t>
            </w:r>
            <w:r>
              <w:rPr>
                <w:rFonts w:hint="eastAsia" w:ascii="宋体" w:hAnsi="宋体" w:cs="宋体"/>
                <w:color w:val="000000"/>
                <w:sz w:val="21"/>
                <w:szCs w:val="21"/>
                <w:highlight w:val="none"/>
                <w:lang w:val="en-US" w:eastAsia="zh-CN"/>
              </w:rPr>
              <w:t>完成</w:t>
            </w:r>
            <w:r>
              <w:rPr>
                <w:rFonts w:hint="eastAsia" w:ascii="宋体" w:hAnsi="宋体" w:cs="宋体"/>
                <w:color w:val="000000"/>
                <w:sz w:val="21"/>
                <w:szCs w:val="21"/>
                <w:highlight w:val="none"/>
                <w:lang w:val="en-US" w:eastAsia="zh"/>
              </w:rPr>
              <w:t>1项</w:t>
            </w:r>
            <w:r>
              <w:rPr>
                <w:rFonts w:hint="eastAsia" w:ascii="宋体" w:hAnsi="宋体" w:cs="宋体"/>
                <w:color w:val="000000"/>
                <w:sz w:val="21"/>
                <w:szCs w:val="21"/>
                <w:highlight w:val="none"/>
                <w:lang w:val="en-US" w:eastAsia="zh-CN"/>
              </w:rPr>
              <w:t>省级及以上</w:t>
            </w:r>
            <w:r>
              <w:rPr>
                <w:rFonts w:hint="eastAsia" w:ascii="宋体" w:hAnsi="宋体" w:cs="宋体"/>
                <w:color w:val="000000"/>
                <w:sz w:val="21"/>
                <w:szCs w:val="21"/>
                <w:highlight w:val="none"/>
                <w:lang w:val="en-US" w:eastAsia="zh"/>
              </w:rPr>
              <w:t>交通运输类公路行业企业五年或中长期战略规划编制</w:t>
            </w:r>
            <w:r>
              <w:rPr>
                <w:rFonts w:hint="eastAsia" w:ascii="宋体" w:hAnsi="宋体" w:cs="宋体"/>
                <w:color w:val="000000"/>
                <w:sz w:val="21"/>
                <w:szCs w:val="21"/>
                <w:highlight w:val="none"/>
                <w:lang w:val="en-US" w:eastAsia="zh-CN"/>
              </w:rPr>
              <w:t>咨询</w:t>
            </w:r>
            <w:r>
              <w:rPr>
                <w:rFonts w:hint="eastAsia" w:ascii="宋体" w:hAnsi="宋体"/>
                <w:color w:val="000000"/>
                <w:sz w:val="21"/>
                <w:szCs w:val="21"/>
                <w:highlight w:val="none"/>
                <w:lang w:eastAsia="zh"/>
              </w:rPr>
              <w:t>业绩</w:t>
            </w:r>
            <w:r>
              <w:rPr>
                <w:rFonts w:hint="eastAsia" w:ascii="宋体" w:hAnsi="宋体"/>
                <w:color w:val="000000"/>
                <w:sz w:val="21"/>
                <w:szCs w:val="21"/>
                <w:highlight w:val="none"/>
                <w:lang w:val="en-US" w:eastAsia="zh-CN"/>
              </w:rPr>
              <w:t>的</w:t>
            </w:r>
            <w:r>
              <w:rPr>
                <w:rFonts w:hint="eastAsia" w:ascii="宋体" w:hAnsi="宋体"/>
                <w:color w:val="000000"/>
                <w:sz w:val="21"/>
                <w:szCs w:val="21"/>
                <w:highlight w:val="none"/>
                <w:lang w:eastAsia="zh"/>
              </w:rPr>
              <w:t>加</w:t>
            </w:r>
            <w:r>
              <w:rPr>
                <w:rFonts w:hint="eastAsia" w:ascii="宋体" w:hAnsi="宋体"/>
                <w:color w:val="000000"/>
                <w:sz w:val="21"/>
                <w:szCs w:val="21"/>
                <w:highlight w:val="none"/>
                <w:lang w:val="en-US" w:eastAsia="zh-CN"/>
              </w:rPr>
              <w:t>2</w:t>
            </w:r>
            <w:r>
              <w:rPr>
                <w:rFonts w:hint="eastAsia" w:ascii="宋体" w:hAnsi="宋体"/>
                <w:color w:val="000000"/>
                <w:sz w:val="21"/>
                <w:szCs w:val="21"/>
                <w:highlight w:val="none"/>
                <w:lang w:eastAsia="zh"/>
              </w:rPr>
              <w:t>分</w:t>
            </w:r>
            <w:r>
              <w:rPr>
                <w:rFonts w:hint="eastAsia" w:ascii="宋体" w:hAnsi="宋体"/>
                <w:color w:val="000000"/>
                <w:sz w:val="21"/>
                <w:szCs w:val="21"/>
                <w:highlight w:val="none"/>
                <w:lang w:eastAsia="zh-CN"/>
              </w:rPr>
              <w:t>；</w:t>
            </w:r>
            <w:r>
              <w:rPr>
                <w:rFonts w:hint="eastAsia" w:ascii="宋体" w:hAnsi="宋体"/>
                <w:color w:val="000000"/>
                <w:sz w:val="21"/>
                <w:szCs w:val="21"/>
                <w:highlight w:val="none"/>
                <w:lang w:eastAsia="zh"/>
              </w:rPr>
              <w:t>最多加</w:t>
            </w:r>
            <w:r>
              <w:rPr>
                <w:rFonts w:hint="eastAsia" w:ascii="宋体" w:hAnsi="宋体"/>
                <w:color w:val="000000"/>
                <w:sz w:val="21"/>
                <w:szCs w:val="21"/>
                <w:highlight w:val="none"/>
                <w:lang w:val="en-US" w:eastAsia="zh-CN"/>
              </w:rPr>
              <w:t>4</w:t>
            </w:r>
            <w:r>
              <w:rPr>
                <w:rFonts w:hint="eastAsia" w:ascii="宋体" w:hAnsi="宋体"/>
                <w:color w:val="000000"/>
                <w:sz w:val="21"/>
                <w:szCs w:val="21"/>
                <w:highlight w:val="none"/>
                <w:lang w:eastAsia="zh"/>
              </w:rPr>
              <w:t>分。</w:t>
            </w:r>
          </w:p>
        </w:tc>
      </w:tr>
      <w:tr w14:paraId="20E059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56" w:hRule="atLeast"/>
        </w:trPr>
        <w:tc>
          <w:tcPr>
            <w:tcW w:w="628" w:type="dxa"/>
            <w:vMerge w:val="continue"/>
            <w:vAlign w:val="center"/>
          </w:tcPr>
          <w:p w14:paraId="440A65E8">
            <w:pPr>
              <w:keepNext w:val="0"/>
              <w:keepLines w:val="0"/>
              <w:suppressLineNumbers w:val="0"/>
              <w:autoSpaceDE w:val="0"/>
              <w:autoSpaceDN w:val="0"/>
              <w:spacing w:before="0" w:beforeAutospacing="0" w:after="0" w:afterAutospacing="0"/>
              <w:ind w:left="0" w:leftChars="0" w:right="0" w:firstLine="0" w:firstLineChars="0"/>
              <w:rPr>
                <w:rFonts w:hint="eastAsia" w:ascii="宋体" w:hAnsi="宋体" w:eastAsia="宋体" w:cs="宋体"/>
                <w:color w:val="auto"/>
                <w:kern w:val="0"/>
                <w:sz w:val="21"/>
                <w:szCs w:val="21"/>
              </w:rPr>
            </w:pPr>
          </w:p>
        </w:tc>
        <w:tc>
          <w:tcPr>
            <w:tcW w:w="659" w:type="dxa"/>
            <w:vMerge w:val="continue"/>
            <w:vAlign w:val="center"/>
          </w:tcPr>
          <w:p w14:paraId="238EC4BA">
            <w:pPr>
              <w:keepNext w:val="0"/>
              <w:keepLines w:val="0"/>
              <w:suppressLineNumbers w:val="0"/>
              <w:autoSpaceDE w:val="0"/>
              <w:autoSpaceDN w:val="0"/>
              <w:spacing w:before="0" w:beforeAutospacing="0" w:after="0" w:afterAutospacing="0"/>
              <w:ind w:left="0" w:leftChars="0" w:right="0" w:firstLine="0" w:firstLineChars="0"/>
              <w:rPr>
                <w:rFonts w:hint="eastAsia" w:ascii="宋体" w:hAnsi="宋体" w:eastAsia="宋体" w:cs="宋体"/>
                <w:color w:val="000000"/>
                <w:kern w:val="0"/>
                <w:sz w:val="20"/>
                <w:szCs w:val="20"/>
                <w:highlight w:val="none"/>
              </w:rPr>
            </w:pPr>
          </w:p>
        </w:tc>
        <w:tc>
          <w:tcPr>
            <w:tcW w:w="545" w:type="dxa"/>
            <w:vMerge w:val="continue"/>
            <w:vAlign w:val="center"/>
          </w:tcPr>
          <w:p w14:paraId="4529D32A">
            <w:pPr>
              <w:keepNext w:val="0"/>
              <w:keepLines w:val="0"/>
              <w:suppressLineNumbers w:val="0"/>
              <w:autoSpaceDE w:val="0"/>
              <w:autoSpaceDN w:val="0"/>
              <w:spacing w:before="0" w:beforeAutospacing="0" w:after="0" w:afterAutospacing="0"/>
              <w:ind w:left="0" w:leftChars="0" w:right="0" w:firstLine="0" w:firstLineChars="0"/>
              <w:jc w:val="center"/>
              <w:rPr>
                <w:rFonts w:hint="eastAsia" w:ascii="宋体" w:hAnsi="宋体" w:cs="宋体"/>
                <w:color w:val="000000"/>
                <w:kern w:val="0"/>
                <w:sz w:val="21"/>
                <w:szCs w:val="21"/>
                <w:highlight w:val="none"/>
                <w:lang w:eastAsia="zh"/>
              </w:rPr>
            </w:pPr>
          </w:p>
        </w:tc>
        <w:tc>
          <w:tcPr>
            <w:tcW w:w="871" w:type="dxa"/>
            <w:vMerge w:val="restart"/>
            <w:tcBorders>
              <w:top w:val="single" w:color="auto" w:sz="4" w:space="0"/>
            </w:tcBorders>
            <w:vAlign w:val="center"/>
          </w:tcPr>
          <w:p w14:paraId="4D2A844E">
            <w:pPr>
              <w:keepNext w:val="0"/>
              <w:keepLines w:val="0"/>
              <w:suppressLineNumbers w:val="0"/>
              <w:autoSpaceDE w:val="0"/>
              <w:autoSpaceDN w:val="0"/>
              <w:spacing w:before="0" w:beforeAutospacing="0" w:after="0" w:afterAutospacing="0"/>
              <w:ind w:left="0" w:leftChars="0" w:right="0" w:rightChars="0"/>
              <w:jc w:val="left"/>
              <w:rPr>
                <w:rFonts w:hint="eastAsia" w:ascii="宋体" w:hAnsi="宋体" w:cs="宋体"/>
                <w:color w:val="000000"/>
                <w:sz w:val="21"/>
                <w:szCs w:val="21"/>
                <w:highlight w:val="none"/>
                <w:lang w:eastAsia="zh"/>
              </w:rPr>
            </w:pPr>
            <w:r>
              <w:rPr>
                <w:rFonts w:hint="eastAsia" w:ascii="宋体" w:hAnsi="宋体" w:cs="宋体"/>
                <w:color w:val="000000"/>
                <w:sz w:val="21"/>
                <w:szCs w:val="21"/>
                <w:highlight w:val="none"/>
                <w:lang w:eastAsia="zh"/>
              </w:rPr>
              <w:t>项目组成员</w:t>
            </w:r>
          </w:p>
          <w:p w14:paraId="16F00A20">
            <w:pPr>
              <w:keepNext w:val="0"/>
              <w:keepLines w:val="0"/>
              <w:suppressLineNumbers w:val="0"/>
              <w:autoSpaceDE w:val="0"/>
              <w:autoSpaceDN w:val="0"/>
              <w:spacing w:before="0" w:beforeAutospacing="0" w:after="0" w:afterAutospacing="0"/>
              <w:ind w:left="0" w:leftChars="0" w:right="0" w:rightChars="0"/>
              <w:jc w:val="left"/>
              <w:rPr>
                <w:rFonts w:hint="eastAsia" w:ascii="宋体" w:hAnsi="宋体" w:eastAsia="宋体" w:cs="宋体"/>
                <w:color w:val="000000"/>
                <w:sz w:val="21"/>
                <w:szCs w:val="21"/>
                <w:highlight w:val="none"/>
                <w:lang w:eastAsia="zh"/>
              </w:rPr>
            </w:pPr>
            <w:r>
              <w:rPr>
                <w:rFonts w:hint="eastAsia" w:ascii="宋体" w:hAnsi="宋体" w:cs="宋体"/>
                <w:color w:val="000000"/>
                <w:kern w:val="0"/>
                <w:sz w:val="21"/>
                <w:szCs w:val="21"/>
                <w:highlight w:val="none"/>
                <w:lang w:eastAsia="zh"/>
              </w:rPr>
              <w:t>（15分）</w:t>
            </w:r>
          </w:p>
        </w:tc>
        <w:tc>
          <w:tcPr>
            <w:tcW w:w="706" w:type="dxa"/>
            <w:tcBorders>
              <w:top w:val="single" w:color="auto" w:sz="4" w:space="0"/>
            </w:tcBorders>
            <w:vAlign w:val="center"/>
          </w:tcPr>
          <w:p w14:paraId="3EDCA541">
            <w:pPr>
              <w:keepNext w:val="0"/>
              <w:keepLines w:val="0"/>
              <w:suppressLineNumbers w:val="0"/>
              <w:autoSpaceDE w:val="0"/>
              <w:autoSpaceDN w:val="0"/>
              <w:spacing w:before="0" w:beforeAutospacing="0" w:after="0" w:afterAutospacing="0"/>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满足资格审查条件</w:t>
            </w:r>
          </w:p>
        </w:tc>
        <w:tc>
          <w:tcPr>
            <w:tcW w:w="565" w:type="dxa"/>
            <w:tcBorders>
              <w:top w:val="single" w:color="auto" w:sz="4" w:space="0"/>
            </w:tcBorders>
            <w:vAlign w:val="center"/>
          </w:tcPr>
          <w:p w14:paraId="12D865A0">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eastAsia="zh"/>
              </w:rPr>
              <w:t>9</w:t>
            </w:r>
            <w:r>
              <w:rPr>
                <w:rFonts w:hint="eastAsia" w:ascii="宋体" w:hAnsi="宋体" w:eastAsia="宋体" w:cs="宋体"/>
                <w:color w:val="000000"/>
                <w:sz w:val="21"/>
                <w:szCs w:val="21"/>
                <w:highlight w:val="none"/>
              </w:rPr>
              <w:t>分</w:t>
            </w:r>
          </w:p>
        </w:tc>
        <w:tc>
          <w:tcPr>
            <w:tcW w:w="5510" w:type="dxa"/>
            <w:tcBorders>
              <w:top w:val="single" w:color="auto" w:sz="4" w:space="0"/>
            </w:tcBorders>
            <w:vAlign w:val="center"/>
          </w:tcPr>
          <w:p w14:paraId="6CAF8ACB">
            <w:pPr>
              <w:keepNext w:val="0"/>
              <w:keepLines w:val="0"/>
              <w:suppressLineNumbers w:val="0"/>
              <w:spacing w:before="0" w:beforeAutospacing="0" w:after="0" w:afterAutospacing="0"/>
              <w:ind w:left="0" w:leftChars="0" w:right="0" w:rightChars="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满足资格审查条件，得</w:t>
            </w:r>
            <w:r>
              <w:rPr>
                <w:rFonts w:hint="eastAsia" w:ascii="宋体" w:hAnsi="宋体" w:cs="宋体"/>
                <w:color w:val="000000"/>
                <w:sz w:val="21"/>
                <w:szCs w:val="21"/>
                <w:highlight w:val="none"/>
                <w:lang w:eastAsia="zh"/>
              </w:rPr>
              <w:t>9</w:t>
            </w:r>
            <w:r>
              <w:rPr>
                <w:rFonts w:hint="eastAsia" w:ascii="宋体" w:hAnsi="宋体" w:eastAsia="宋体" w:cs="宋体"/>
                <w:color w:val="000000"/>
                <w:sz w:val="21"/>
                <w:szCs w:val="21"/>
                <w:highlight w:val="none"/>
              </w:rPr>
              <w:t>分</w:t>
            </w:r>
            <w:r>
              <w:rPr>
                <w:rFonts w:hint="eastAsia" w:ascii="宋体" w:hAnsi="宋体" w:cs="宋体"/>
                <w:color w:val="000000"/>
                <w:sz w:val="21"/>
                <w:szCs w:val="21"/>
                <w:highlight w:val="none"/>
                <w:lang w:eastAsia="zh-CN"/>
              </w:rPr>
              <w:t>。</w:t>
            </w:r>
          </w:p>
        </w:tc>
      </w:tr>
      <w:tr w14:paraId="6151FD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78" w:hRule="atLeast"/>
        </w:trPr>
        <w:tc>
          <w:tcPr>
            <w:tcW w:w="628" w:type="dxa"/>
            <w:vMerge w:val="continue"/>
            <w:vAlign w:val="center"/>
          </w:tcPr>
          <w:p w14:paraId="5DE0517B">
            <w:pPr>
              <w:keepNext w:val="0"/>
              <w:keepLines w:val="0"/>
              <w:suppressLineNumbers w:val="0"/>
              <w:autoSpaceDE w:val="0"/>
              <w:autoSpaceDN w:val="0"/>
              <w:spacing w:before="0" w:beforeAutospacing="0" w:after="0" w:afterAutospacing="0"/>
              <w:ind w:left="0" w:leftChars="0" w:right="0" w:firstLine="0" w:firstLineChars="0"/>
              <w:rPr>
                <w:rFonts w:hint="eastAsia" w:ascii="宋体" w:hAnsi="宋体" w:eastAsia="宋体" w:cs="宋体"/>
                <w:color w:val="auto"/>
                <w:kern w:val="0"/>
                <w:sz w:val="21"/>
                <w:szCs w:val="21"/>
              </w:rPr>
            </w:pPr>
          </w:p>
        </w:tc>
        <w:tc>
          <w:tcPr>
            <w:tcW w:w="659" w:type="dxa"/>
            <w:vMerge w:val="continue"/>
            <w:vAlign w:val="center"/>
          </w:tcPr>
          <w:p w14:paraId="3FB98E35">
            <w:pPr>
              <w:keepNext w:val="0"/>
              <w:keepLines w:val="0"/>
              <w:suppressLineNumbers w:val="0"/>
              <w:autoSpaceDE w:val="0"/>
              <w:autoSpaceDN w:val="0"/>
              <w:spacing w:before="0" w:beforeAutospacing="0" w:after="0" w:afterAutospacing="0"/>
              <w:ind w:left="0" w:leftChars="0" w:right="0" w:firstLine="0" w:firstLineChars="0"/>
              <w:rPr>
                <w:rFonts w:hint="eastAsia" w:ascii="宋体" w:hAnsi="宋体" w:eastAsia="宋体" w:cs="宋体"/>
                <w:color w:val="000000"/>
                <w:kern w:val="0"/>
                <w:sz w:val="21"/>
                <w:szCs w:val="21"/>
                <w:highlight w:val="none"/>
              </w:rPr>
            </w:pPr>
          </w:p>
        </w:tc>
        <w:tc>
          <w:tcPr>
            <w:tcW w:w="545" w:type="dxa"/>
            <w:vMerge w:val="continue"/>
            <w:vAlign w:val="center"/>
          </w:tcPr>
          <w:p w14:paraId="0D4B96F6">
            <w:pPr>
              <w:keepNext w:val="0"/>
              <w:keepLines w:val="0"/>
              <w:suppressLineNumbers w:val="0"/>
              <w:autoSpaceDE w:val="0"/>
              <w:autoSpaceDN w:val="0"/>
              <w:spacing w:before="0" w:beforeAutospacing="0" w:after="0" w:afterAutospacing="0"/>
              <w:ind w:left="0" w:leftChars="0" w:right="0" w:firstLine="0" w:firstLineChars="0"/>
              <w:jc w:val="center"/>
              <w:rPr>
                <w:rFonts w:hint="eastAsia" w:ascii="宋体" w:hAnsi="宋体" w:eastAsia="宋体" w:cs="宋体"/>
                <w:color w:val="000000"/>
                <w:kern w:val="0"/>
                <w:sz w:val="21"/>
                <w:szCs w:val="21"/>
                <w:highlight w:val="none"/>
              </w:rPr>
            </w:pPr>
          </w:p>
        </w:tc>
        <w:tc>
          <w:tcPr>
            <w:tcW w:w="871" w:type="dxa"/>
            <w:vMerge w:val="continue"/>
            <w:vAlign w:val="center"/>
          </w:tcPr>
          <w:p w14:paraId="1A4E4409">
            <w:pPr>
              <w:keepNext w:val="0"/>
              <w:keepLines w:val="0"/>
              <w:suppressLineNumbers w:val="0"/>
              <w:autoSpaceDE w:val="0"/>
              <w:autoSpaceDN w:val="0"/>
              <w:spacing w:before="0" w:beforeAutospacing="0" w:after="0" w:afterAutospacing="0"/>
              <w:ind w:left="0" w:leftChars="0" w:right="0" w:rightChars="0"/>
              <w:rPr>
                <w:rFonts w:hint="eastAsia" w:ascii="宋体" w:hAnsi="宋体" w:eastAsia="宋体" w:cs="宋体"/>
                <w:color w:val="000000"/>
                <w:sz w:val="21"/>
                <w:szCs w:val="21"/>
                <w:highlight w:val="none"/>
              </w:rPr>
            </w:pPr>
          </w:p>
        </w:tc>
        <w:tc>
          <w:tcPr>
            <w:tcW w:w="706" w:type="dxa"/>
            <w:vMerge w:val="restart"/>
            <w:tcBorders>
              <w:top w:val="single" w:color="auto" w:sz="4" w:space="0"/>
            </w:tcBorders>
            <w:vAlign w:val="center"/>
          </w:tcPr>
          <w:p w14:paraId="36526A4D">
            <w:pPr>
              <w:keepNext w:val="0"/>
              <w:keepLines w:val="0"/>
              <w:suppressLineNumbers w:val="0"/>
              <w:autoSpaceDE w:val="0"/>
              <w:autoSpaceDN w:val="0"/>
              <w:spacing w:before="0" w:beforeAutospacing="0" w:after="0" w:afterAutospacing="0"/>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加分</w:t>
            </w:r>
          </w:p>
        </w:tc>
        <w:tc>
          <w:tcPr>
            <w:tcW w:w="565" w:type="dxa"/>
            <w:vMerge w:val="restart"/>
            <w:tcBorders>
              <w:top w:val="single" w:color="auto" w:sz="4" w:space="0"/>
            </w:tcBorders>
            <w:vAlign w:val="center"/>
          </w:tcPr>
          <w:p w14:paraId="44223BC7">
            <w:pPr>
              <w:pStyle w:val="6"/>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highlight w:val="none"/>
              </w:rPr>
            </w:pPr>
            <w:r>
              <w:rPr>
                <w:rFonts w:hint="eastAsia" w:cs="宋体"/>
                <w:color w:val="000000"/>
                <w:spacing w:val="0"/>
                <w:w w:val="100"/>
                <w:kern w:val="2"/>
                <w:sz w:val="21"/>
                <w:szCs w:val="21"/>
                <w:highlight w:val="none"/>
                <w:lang w:val="en-US" w:eastAsia="zh" w:bidi="ar-SA"/>
              </w:rPr>
              <w:t>6</w:t>
            </w:r>
            <w:r>
              <w:rPr>
                <w:rFonts w:hint="eastAsia" w:ascii="宋体" w:hAnsi="宋体" w:eastAsia="宋体" w:cs="宋体"/>
                <w:color w:val="000000"/>
                <w:spacing w:val="0"/>
                <w:w w:val="100"/>
                <w:kern w:val="2"/>
                <w:sz w:val="21"/>
                <w:szCs w:val="21"/>
                <w:highlight w:val="none"/>
                <w:lang w:val="en-US" w:eastAsia="zh-CN" w:bidi="ar-SA"/>
              </w:rPr>
              <w:t>分</w:t>
            </w:r>
          </w:p>
        </w:tc>
        <w:tc>
          <w:tcPr>
            <w:tcW w:w="5510" w:type="dxa"/>
            <w:tcBorders>
              <w:top w:val="single" w:color="auto" w:sz="4" w:space="0"/>
            </w:tcBorders>
            <w:vAlign w:val="center"/>
          </w:tcPr>
          <w:p w14:paraId="04712E82">
            <w:pPr>
              <w:keepNext w:val="0"/>
              <w:keepLines w:val="0"/>
              <w:widowControl w:val="0"/>
              <w:suppressLineNumbers w:val="0"/>
              <w:spacing w:before="0" w:beforeAutospacing="0" w:after="0" w:afterAutospacing="0"/>
              <w:ind w:left="0" w:right="0"/>
              <w:jc w:val="both"/>
              <w:rPr>
                <w:rFonts w:hint="eastAsia" w:ascii="宋体" w:hAnsi="宋体" w:eastAsia="宋体"/>
                <w:color w:val="000000"/>
                <w:sz w:val="21"/>
                <w:szCs w:val="21"/>
                <w:highlight w:val="none"/>
                <w:lang w:eastAsia="zh"/>
              </w:rPr>
            </w:pPr>
            <w:r>
              <w:rPr>
                <w:rFonts w:hint="eastAsia" w:ascii="宋体" w:hAnsi="宋体" w:cs="宋体"/>
                <w:color w:val="000000"/>
                <w:sz w:val="21"/>
                <w:szCs w:val="21"/>
                <w:highlight w:val="none"/>
                <w:lang w:val="en-US" w:eastAsia="zh-CN"/>
              </w:rPr>
              <w:t>拟投入的项目组成员</w:t>
            </w:r>
            <w:r>
              <w:rPr>
                <w:rFonts w:hint="eastAsia" w:ascii="宋体" w:hAnsi="宋体" w:cs="宋体"/>
                <w:color w:val="000000"/>
                <w:sz w:val="21"/>
                <w:szCs w:val="21"/>
                <w:highlight w:val="none"/>
                <w:lang w:eastAsia="zh"/>
              </w:rPr>
              <w:t>每增加1</w:t>
            </w:r>
            <w:r>
              <w:rPr>
                <w:rFonts w:hint="eastAsia" w:ascii="宋体" w:hAnsi="宋体" w:cs="宋体"/>
                <w:color w:val="000000"/>
                <w:sz w:val="21"/>
                <w:szCs w:val="21"/>
                <w:highlight w:val="none"/>
                <w:lang w:val="en-US" w:eastAsia="zh-CN"/>
              </w:rPr>
              <w:t>名</w:t>
            </w:r>
            <w:r>
              <w:rPr>
                <w:rFonts w:hint="eastAsia" w:ascii="宋体" w:hAnsi="宋体" w:cs="宋体"/>
                <w:color w:val="000000"/>
                <w:sz w:val="21"/>
                <w:szCs w:val="21"/>
                <w:highlight w:val="none"/>
                <w:lang w:eastAsia="zh"/>
              </w:rPr>
              <w:t>满足附录4资格审查条件（主要人员最低要求</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项目组成员</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eastAsia="zh"/>
              </w:rPr>
              <w:t>）</w:t>
            </w:r>
            <w:r>
              <w:rPr>
                <w:rFonts w:hint="eastAsia" w:ascii="宋体" w:hAnsi="宋体" w:cs="宋体"/>
                <w:color w:val="000000"/>
                <w:sz w:val="21"/>
                <w:szCs w:val="21"/>
                <w:highlight w:val="none"/>
                <w:lang w:val="en-US" w:eastAsia="zh-CN"/>
              </w:rPr>
              <w:t>要求</w:t>
            </w:r>
            <w:r>
              <w:rPr>
                <w:rFonts w:hint="eastAsia" w:ascii="宋体" w:hAnsi="宋体" w:cs="宋体"/>
                <w:color w:val="000000"/>
                <w:sz w:val="21"/>
                <w:szCs w:val="21"/>
                <w:highlight w:val="none"/>
                <w:lang w:eastAsia="zh"/>
              </w:rPr>
              <w:t>的加</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lang w:eastAsia="zh"/>
              </w:rPr>
              <w:t>分</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eastAsia="zh"/>
              </w:rPr>
              <w:t>最多加</w:t>
            </w: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lang w:eastAsia="zh"/>
              </w:rPr>
              <w:t>分。</w:t>
            </w:r>
          </w:p>
        </w:tc>
      </w:tr>
      <w:tr w14:paraId="48FF2A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95" w:hRule="atLeast"/>
        </w:trPr>
        <w:tc>
          <w:tcPr>
            <w:tcW w:w="628" w:type="dxa"/>
            <w:vMerge w:val="continue"/>
            <w:vAlign w:val="center"/>
          </w:tcPr>
          <w:p w14:paraId="2E209AB8">
            <w:pPr>
              <w:keepNext w:val="0"/>
              <w:keepLines w:val="0"/>
              <w:widowControl w:val="0"/>
              <w:suppressLineNumbers w:val="0"/>
              <w:snapToGrid w:val="0"/>
              <w:spacing w:before="0" w:beforeAutospacing="0" w:after="0" w:afterAutospacing="0" w:line="264" w:lineRule="auto"/>
              <w:ind w:left="0" w:right="0"/>
              <w:jc w:val="both"/>
              <w:rPr>
                <w:rFonts w:hint="default"/>
              </w:rPr>
            </w:pPr>
          </w:p>
        </w:tc>
        <w:tc>
          <w:tcPr>
            <w:tcW w:w="659" w:type="dxa"/>
            <w:vMerge w:val="continue"/>
            <w:vAlign w:val="center"/>
          </w:tcPr>
          <w:p w14:paraId="44ABC989">
            <w:pPr>
              <w:keepNext w:val="0"/>
              <w:keepLines w:val="0"/>
              <w:widowControl w:val="0"/>
              <w:suppressLineNumbers w:val="0"/>
              <w:snapToGrid w:val="0"/>
              <w:spacing w:before="0" w:beforeAutospacing="0" w:after="0" w:afterAutospacing="0" w:line="264" w:lineRule="auto"/>
              <w:ind w:left="0" w:right="0"/>
              <w:jc w:val="both"/>
              <w:rPr>
                <w:rFonts w:hint="default"/>
              </w:rPr>
            </w:pPr>
          </w:p>
        </w:tc>
        <w:tc>
          <w:tcPr>
            <w:tcW w:w="545" w:type="dxa"/>
            <w:vMerge w:val="continue"/>
            <w:vAlign w:val="center"/>
          </w:tcPr>
          <w:p w14:paraId="17ABD73C">
            <w:pPr>
              <w:keepNext w:val="0"/>
              <w:keepLines w:val="0"/>
              <w:widowControl w:val="0"/>
              <w:suppressLineNumbers w:val="0"/>
              <w:snapToGrid w:val="0"/>
              <w:spacing w:before="0" w:beforeAutospacing="0" w:after="0" w:afterAutospacing="0" w:line="264" w:lineRule="auto"/>
              <w:ind w:left="0" w:right="0"/>
              <w:jc w:val="both"/>
              <w:rPr>
                <w:rFonts w:hint="default"/>
              </w:rPr>
            </w:pPr>
          </w:p>
        </w:tc>
        <w:tc>
          <w:tcPr>
            <w:tcW w:w="871" w:type="dxa"/>
            <w:vMerge w:val="continue"/>
            <w:vAlign w:val="center"/>
          </w:tcPr>
          <w:p w14:paraId="38F76ED7">
            <w:pPr>
              <w:keepNext w:val="0"/>
              <w:keepLines w:val="0"/>
              <w:widowControl w:val="0"/>
              <w:suppressLineNumbers w:val="0"/>
              <w:snapToGrid w:val="0"/>
              <w:spacing w:before="0" w:beforeAutospacing="0" w:after="0" w:afterAutospacing="0" w:line="264" w:lineRule="auto"/>
              <w:ind w:left="0" w:right="0"/>
              <w:jc w:val="both"/>
              <w:rPr>
                <w:rFonts w:hint="default"/>
              </w:rPr>
            </w:pPr>
          </w:p>
        </w:tc>
        <w:tc>
          <w:tcPr>
            <w:tcW w:w="706" w:type="dxa"/>
            <w:vMerge w:val="continue"/>
            <w:vAlign w:val="center"/>
          </w:tcPr>
          <w:p w14:paraId="42E0C570">
            <w:pPr>
              <w:keepNext w:val="0"/>
              <w:keepLines w:val="0"/>
              <w:widowControl w:val="0"/>
              <w:suppressLineNumbers w:val="0"/>
              <w:snapToGrid w:val="0"/>
              <w:spacing w:before="0" w:beforeAutospacing="0" w:after="0" w:afterAutospacing="0" w:line="264" w:lineRule="auto"/>
              <w:ind w:left="0" w:right="0"/>
              <w:jc w:val="both"/>
              <w:rPr>
                <w:rFonts w:hint="default"/>
              </w:rPr>
            </w:pPr>
          </w:p>
        </w:tc>
        <w:tc>
          <w:tcPr>
            <w:tcW w:w="565" w:type="dxa"/>
            <w:vMerge w:val="continue"/>
            <w:vAlign w:val="center"/>
          </w:tcPr>
          <w:p w14:paraId="64A97011">
            <w:pPr>
              <w:keepNext w:val="0"/>
              <w:keepLines w:val="0"/>
              <w:widowControl w:val="0"/>
              <w:suppressLineNumbers w:val="0"/>
              <w:snapToGrid w:val="0"/>
              <w:spacing w:before="0" w:beforeAutospacing="0" w:after="0" w:afterAutospacing="0" w:line="264" w:lineRule="auto"/>
              <w:ind w:left="0" w:right="0"/>
              <w:jc w:val="both"/>
              <w:rPr>
                <w:rFonts w:hint="default"/>
              </w:rPr>
            </w:pPr>
          </w:p>
        </w:tc>
        <w:tc>
          <w:tcPr>
            <w:tcW w:w="5510" w:type="dxa"/>
            <w:tcBorders>
              <w:top w:val="single" w:color="auto" w:sz="4" w:space="0"/>
            </w:tcBorders>
            <w:vAlign w:val="center"/>
          </w:tcPr>
          <w:p w14:paraId="76676889">
            <w:pPr>
              <w:keepNext w:val="0"/>
              <w:keepLines w:val="0"/>
              <w:widowControl w:val="0"/>
              <w:suppressLineNumbers w:val="0"/>
              <w:snapToGrid w:val="0"/>
              <w:spacing w:before="0" w:beforeAutospacing="0" w:after="0" w:afterAutospacing="0" w:line="264" w:lineRule="auto"/>
              <w:ind w:left="0" w:right="0"/>
              <w:jc w:val="both"/>
              <w:rPr>
                <w:rFonts w:hint="eastAsia" w:ascii="宋体" w:hAnsi="宋体"/>
                <w:color w:val="000000"/>
                <w:sz w:val="21"/>
                <w:szCs w:val="21"/>
                <w:highlight w:val="none"/>
                <w:lang w:val="en-US" w:eastAsia="zh-CN"/>
              </w:rPr>
            </w:pPr>
            <w:r>
              <w:rPr>
                <w:rFonts w:hint="eastAsia" w:ascii="宋体" w:hAnsi="宋体" w:cs="宋体"/>
                <w:color w:val="000000"/>
                <w:kern w:val="2"/>
                <w:sz w:val="21"/>
                <w:szCs w:val="21"/>
                <w:highlight w:val="none"/>
                <w:lang w:val="en-US" w:eastAsia="zh-CN" w:bidi="ar"/>
              </w:rPr>
              <w:t>①类：满足资格条件</w:t>
            </w:r>
            <w:r>
              <w:rPr>
                <w:rFonts w:hint="eastAsia" w:ascii="宋体" w:hAnsi="宋体" w:cs="宋体"/>
                <w:color w:val="000000"/>
                <w:sz w:val="21"/>
                <w:szCs w:val="21"/>
                <w:highlight w:val="none"/>
                <w:lang w:eastAsia="zh"/>
              </w:rPr>
              <w:t>附录4资格审查条件（主要人员最低要求</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项目组成员</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要求的</w:t>
            </w:r>
            <w:r>
              <w:rPr>
                <w:rFonts w:hint="eastAsia" w:ascii="宋体" w:hAnsi="宋体" w:eastAsia="宋体" w:cs="宋体"/>
                <w:color w:val="000000"/>
                <w:kern w:val="2"/>
                <w:sz w:val="21"/>
                <w:szCs w:val="21"/>
                <w:highlight w:val="none"/>
                <w:lang w:val="en-US" w:eastAsia="zh-CN" w:bidi="ar"/>
              </w:rPr>
              <w:t>项目组成员</w:t>
            </w:r>
            <w:r>
              <w:rPr>
                <w:rFonts w:hint="eastAsia" w:ascii="宋体" w:hAnsi="宋体" w:cs="宋体"/>
                <w:color w:val="000000"/>
                <w:kern w:val="2"/>
                <w:sz w:val="21"/>
                <w:szCs w:val="21"/>
                <w:highlight w:val="none"/>
                <w:lang w:val="en-US" w:eastAsia="zh-CN" w:bidi="ar"/>
              </w:rPr>
              <w:t>，</w:t>
            </w:r>
            <w:r>
              <w:rPr>
                <w:rFonts w:hint="eastAsia" w:ascii="宋体" w:hAnsi="宋体" w:cs="宋体"/>
                <w:color w:val="000000"/>
                <w:sz w:val="21"/>
                <w:szCs w:val="21"/>
                <w:highlight w:val="none"/>
                <w:lang w:eastAsia="zh"/>
              </w:rPr>
              <w:t>近</w:t>
            </w:r>
            <w:r>
              <w:rPr>
                <w:rFonts w:hint="eastAsia" w:ascii="宋体" w:hAnsi="宋体" w:cs="宋体"/>
                <w:color w:val="000000"/>
                <w:sz w:val="21"/>
                <w:szCs w:val="21"/>
                <w:highlight w:val="none"/>
                <w:lang w:val="en-US" w:eastAsia="zh-CN"/>
              </w:rPr>
              <w:t>5</w:t>
            </w:r>
            <w:r>
              <w:rPr>
                <w:rFonts w:hint="eastAsia" w:ascii="宋体" w:hAnsi="宋体" w:cs="宋体"/>
                <w:color w:val="000000"/>
                <w:sz w:val="21"/>
                <w:szCs w:val="21"/>
                <w:highlight w:val="none"/>
                <w:lang w:eastAsia="zh"/>
              </w:rPr>
              <w:t>年内（20</w:t>
            </w:r>
            <w:r>
              <w:rPr>
                <w:rFonts w:hint="eastAsia" w:ascii="宋体" w:hAnsi="宋体" w:cs="宋体"/>
                <w:color w:val="000000"/>
                <w:sz w:val="21"/>
                <w:szCs w:val="21"/>
                <w:highlight w:val="none"/>
                <w:lang w:val="en-US" w:eastAsia="zh-CN"/>
              </w:rPr>
              <w:t>19</w:t>
            </w:r>
            <w:r>
              <w:rPr>
                <w:rFonts w:hint="eastAsia" w:ascii="宋体" w:hAnsi="宋体" w:cs="宋体"/>
                <w:color w:val="000000"/>
                <w:sz w:val="21"/>
                <w:szCs w:val="21"/>
                <w:highlight w:val="none"/>
                <w:lang w:eastAsia="zh"/>
              </w:rPr>
              <w:t>年</w:t>
            </w:r>
            <w:r>
              <w:rPr>
                <w:rFonts w:hint="eastAsia" w:ascii="宋体" w:hAnsi="宋体" w:cs="宋体"/>
                <w:color w:val="000000"/>
                <w:sz w:val="21"/>
                <w:szCs w:val="21"/>
                <w:highlight w:val="none"/>
                <w:lang w:val="en-US" w:eastAsia="zh-CN"/>
              </w:rPr>
              <w:t>12月1日</w:t>
            </w:r>
            <w:r>
              <w:rPr>
                <w:rFonts w:hint="eastAsia" w:ascii="宋体" w:hAnsi="宋体" w:cs="宋体"/>
                <w:color w:val="000000"/>
                <w:sz w:val="21"/>
                <w:szCs w:val="21"/>
                <w:highlight w:val="none"/>
                <w:lang w:eastAsia="zh"/>
              </w:rPr>
              <w:t>至今）</w:t>
            </w:r>
            <w:r>
              <w:rPr>
                <w:rFonts w:hint="eastAsia" w:ascii="宋体" w:hAnsi="宋体" w:cs="宋体"/>
                <w:color w:val="000000"/>
                <w:sz w:val="21"/>
                <w:szCs w:val="21"/>
                <w:highlight w:val="none"/>
                <w:lang w:val="en-US" w:eastAsia="zh-CN"/>
              </w:rPr>
              <w:t>以合同签订时间为准，</w:t>
            </w:r>
            <w:r>
              <w:rPr>
                <w:rFonts w:hint="eastAsia" w:ascii="宋体" w:hAnsi="宋体" w:eastAsia="宋体" w:cs="宋体"/>
                <w:color w:val="000000"/>
                <w:kern w:val="2"/>
                <w:sz w:val="21"/>
                <w:szCs w:val="21"/>
                <w:highlight w:val="none"/>
                <w:lang w:val="en-US" w:eastAsia="zh-CN" w:bidi="ar"/>
              </w:rPr>
              <w:t>每</w:t>
            </w:r>
            <w:r>
              <w:rPr>
                <w:rFonts w:hint="eastAsia" w:ascii="宋体" w:hAnsi="宋体" w:cs="宋体"/>
                <w:color w:val="000000"/>
                <w:kern w:val="2"/>
                <w:sz w:val="21"/>
                <w:szCs w:val="21"/>
                <w:highlight w:val="none"/>
                <w:lang w:val="en-US" w:eastAsia="zh-CN" w:bidi="ar"/>
              </w:rPr>
              <w:t>完成</w:t>
            </w:r>
            <w:r>
              <w:rPr>
                <w:rFonts w:hint="eastAsia" w:ascii="宋体" w:hAnsi="宋体" w:eastAsia="宋体" w:cs="宋体"/>
                <w:color w:val="000000"/>
                <w:kern w:val="2"/>
                <w:sz w:val="21"/>
                <w:szCs w:val="21"/>
                <w:highlight w:val="none"/>
                <w:lang w:val="en-US" w:eastAsia="zh-CN" w:bidi="ar"/>
              </w:rPr>
              <w:t>1项省级及以上交通运输类公路行业企业五年或中长期战略规划编制</w:t>
            </w:r>
            <w:r>
              <w:rPr>
                <w:rFonts w:hint="eastAsia" w:ascii="宋体" w:hAnsi="宋体" w:cs="宋体"/>
                <w:color w:val="000000"/>
                <w:kern w:val="2"/>
                <w:sz w:val="21"/>
                <w:szCs w:val="21"/>
                <w:highlight w:val="none"/>
                <w:lang w:val="en-US" w:eastAsia="zh-CN" w:bidi="ar"/>
              </w:rPr>
              <w:t>咨询</w:t>
            </w:r>
            <w:r>
              <w:rPr>
                <w:rFonts w:hint="eastAsia" w:ascii="宋体" w:hAnsi="宋体" w:eastAsia="宋体" w:cs="宋体"/>
                <w:color w:val="000000"/>
                <w:kern w:val="2"/>
                <w:sz w:val="21"/>
                <w:szCs w:val="21"/>
                <w:highlight w:val="none"/>
                <w:lang w:val="en-US" w:eastAsia="zh-CN" w:bidi="ar"/>
              </w:rPr>
              <w:t>业绩</w:t>
            </w:r>
            <w:r>
              <w:rPr>
                <w:rFonts w:hint="eastAsia" w:ascii="宋体" w:hAnsi="宋体" w:cs="宋体"/>
                <w:color w:val="000000"/>
                <w:kern w:val="2"/>
                <w:sz w:val="21"/>
                <w:szCs w:val="21"/>
                <w:highlight w:val="none"/>
                <w:lang w:val="en-US" w:eastAsia="zh-CN" w:bidi="ar"/>
              </w:rPr>
              <w:t>，</w:t>
            </w:r>
            <w:r>
              <w:rPr>
                <w:rFonts w:hint="eastAsia" w:ascii="宋体" w:hAnsi="宋体" w:eastAsia="宋体" w:cs="宋体"/>
                <w:color w:val="000000"/>
                <w:kern w:val="2"/>
                <w:sz w:val="21"/>
                <w:szCs w:val="21"/>
                <w:highlight w:val="none"/>
                <w:lang w:val="en-US" w:eastAsia="zh-CN" w:bidi="ar"/>
              </w:rPr>
              <w:t>加0.5分</w:t>
            </w:r>
            <w:r>
              <w:rPr>
                <w:rFonts w:hint="eastAsia" w:ascii="宋体" w:hAnsi="宋体" w:cs="宋体"/>
                <w:color w:val="000000"/>
                <w:kern w:val="2"/>
                <w:sz w:val="21"/>
                <w:szCs w:val="21"/>
                <w:highlight w:val="none"/>
                <w:lang w:val="en-US" w:eastAsia="zh-CN" w:bidi="ar"/>
              </w:rPr>
              <w:t>；最多加2</w:t>
            </w:r>
            <w:r>
              <w:rPr>
                <w:rFonts w:hint="eastAsia" w:ascii="宋体" w:hAnsi="宋体" w:eastAsia="宋体" w:cs="宋体"/>
                <w:color w:val="000000"/>
                <w:kern w:val="2"/>
                <w:sz w:val="21"/>
                <w:szCs w:val="21"/>
                <w:highlight w:val="none"/>
                <w:lang w:val="en-US" w:eastAsia="zh-CN" w:bidi="ar"/>
              </w:rPr>
              <w:t>分</w:t>
            </w:r>
            <w:r>
              <w:rPr>
                <w:rFonts w:hint="eastAsia" w:ascii="宋体" w:hAnsi="宋体" w:cs="宋体"/>
                <w:color w:val="000000"/>
                <w:kern w:val="2"/>
                <w:sz w:val="21"/>
                <w:szCs w:val="21"/>
                <w:highlight w:val="none"/>
                <w:lang w:val="en-US" w:eastAsia="zh-CN" w:bidi="ar"/>
              </w:rPr>
              <w:t>。</w:t>
            </w:r>
          </w:p>
        </w:tc>
      </w:tr>
      <w:tr w14:paraId="3B9F90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95" w:hRule="atLeast"/>
        </w:trPr>
        <w:tc>
          <w:tcPr>
            <w:tcW w:w="628" w:type="dxa"/>
            <w:vMerge w:val="continue"/>
            <w:vAlign w:val="center"/>
          </w:tcPr>
          <w:p w14:paraId="507D233D">
            <w:pPr>
              <w:keepNext w:val="0"/>
              <w:keepLines w:val="0"/>
              <w:widowControl w:val="0"/>
              <w:suppressLineNumbers w:val="0"/>
              <w:snapToGrid w:val="0"/>
              <w:spacing w:before="0" w:beforeAutospacing="0" w:after="0" w:afterAutospacing="0" w:line="264" w:lineRule="auto"/>
              <w:ind w:left="0" w:right="0"/>
              <w:jc w:val="both"/>
              <w:rPr>
                <w:rFonts w:hint="default"/>
              </w:rPr>
            </w:pPr>
          </w:p>
        </w:tc>
        <w:tc>
          <w:tcPr>
            <w:tcW w:w="659" w:type="dxa"/>
            <w:vMerge w:val="continue"/>
            <w:vAlign w:val="center"/>
          </w:tcPr>
          <w:p w14:paraId="4170C21A">
            <w:pPr>
              <w:keepNext w:val="0"/>
              <w:keepLines w:val="0"/>
              <w:widowControl w:val="0"/>
              <w:suppressLineNumbers w:val="0"/>
              <w:snapToGrid w:val="0"/>
              <w:spacing w:before="0" w:beforeAutospacing="0" w:after="0" w:afterAutospacing="0" w:line="264" w:lineRule="auto"/>
              <w:ind w:left="0" w:right="0"/>
              <w:jc w:val="both"/>
              <w:rPr>
                <w:rFonts w:hint="default"/>
              </w:rPr>
            </w:pPr>
          </w:p>
        </w:tc>
        <w:tc>
          <w:tcPr>
            <w:tcW w:w="545" w:type="dxa"/>
            <w:vMerge w:val="continue"/>
            <w:vAlign w:val="center"/>
          </w:tcPr>
          <w:p w14:paraId="77D6DB88">
            <w:pPr>
              <w:keepNext w:val="0"/>
              <w:keepLines w:val="0"/>
              <w:widowControl w:val="0"/>
              <w:suppressLineNumbers w:val="0"/>
              <w:snapToGrid w:val="0"/>
              <w:spacing w:before="0" w:beforeAutospacing="0" w:after="0" w:afterAutospacing="0" w:line="264" w:lineRule="auto"/>
              <w:ind w:left="0" w:right="0"/>
              <w:jc w:val="both"/>
              <w:rPr>
                <w:rFonts w:hint="default"/>
              </w:rPr>
            </w:pPr>
          </w:p>
        </w:tc>
        <w:tc>
          <w:tcPr>
            <w:tcW w:w="871" w:type="dxa"/>
            <w:vMerge w:val="continue"/>
            <w:vAlign w:val="center"/>
          </w:tcPr>
          <w:p w14:paraId="32E9610D">
            <w:pPr>
              <w:keepNext w:val="0"/>
              <w:keepLines w:val="0"/>
              <w:widowControl w:val="0"/>
              <w:suppressLineNumbers w:val="0"/>
              <w:snapToGrid w:val="0"/>
              <w:spacing w:before="0" w:beforeAutospacing="0" w:after="0" w:afterAutospacing="0" w:line="264" w:lineRule="auto"/>
              <w:ind w:left="0" w:right="0"/>
              <w:jc w:val="both"/>
              <w:rPr>
                <w:rFonts w:hint="default"/>
              </w:rPr>
            </w:pPr>
          </w:p>
        </w:tc>
        <w:tc>
          <w:tcPr>
            <w:tcW w:w="706" w:type="dxa"/>
            <w:vMerge w:val="continue"/>
            <w:vAlign w:val="center"/>
          </w:tcPr>
          <w:p w14:paraId="19C90185">
            <w:pPr>
              <w:keepNext w:val="0"/>
              <w:keepLines w:val="0"/>
              <w:widowControl w:val="0"/>
              <w:suppressLineNumbers w:val="0"/>
              <w:snapToGrid w:val="0"/>
              <w:spacing w:before="0" w:beforeAutospacing="0" w:after="0" w:afterAutospacing="0" w:line="264" w:lineRule="auto"/>
              <w:ind w:left="0" w:right="0"/>
              <w:jc w:val="both"/>
              <w:rPr>
                <w:rFonts w:hint="default"/>
              </w:rPr>
            </w:pPr>
          </w:p>
        </w:tc>
        <w:tc>
          <w:tcPr>
            <w:tcW w:w="565" w:type="dxa"/>
            <w:vMerge w:val="continue"/>
            <w:vAlign w:val="center"/>
          </w:tcPr>
          <w:p w14:paraId="74DBC116">
            <w:pPr>
              <w:keepNext w:val="0"/>
              <w:keepLines w:val="0"/>
              <w:widowControl w:val="0"/>
              <w:suppressLineNumbers w:val="0"/>
              <w:snapToGrid w:val="0"/>
              <w:spacing w:before="0" w:beforeAutospacing="0" w:after="0" w:afterAutospacing="0" w:line="264" w:lineRule="auto"/>
              <w:ind w:left="0" w:right="0"/>
              <w:jc w:val="both"/>
              <w:rPr>
                <w:rFonts w:hint="default"/>
              </w:rPr>
            </w:pPr>
          </w:p>
        </w:tc>
        <w:tc>
          <w:tcPr>
            <w:tcW w:w="5510" w:type="dxa"/>
            <w:tcBorders>
              <w:top w:val="single" w:color="auto" w:sz="4" w:space="0"/>
            </w:tcBorders>
            <w:vAlign w:val="center"/>
          </w:tcPr>
          <w:p w14:paraId="4DBDD1DD">
            <w:pPr>
              <w:keepNext w:val="0"/>
              <w:keepLines w:val="0"/>
              <w:widowControl w:val="0"/>
              <w:suppressLineNumbers w:val="0"/>
              <w:snapToGrid w:val="0"/>
              <w:spacing w:before="0" w:beforeAutospacing="0" w:after="0" w:afterAutospacing="0" w:line="264" w:lineRule="auto"/>
              <w:ind w:left="0" w:right="0"/>
              <w:jc w:val="both"/>
              <w:rPr>
                <w:rFonts w:hint="eastAsia" w:ascii="宋体" w:hAnsi="宋体" w:eastAsia="宋体" w:cs="宋体"/>
                <w:color w:val="000000"/>
                <w:kern w:val="2"/>
                <w:sz w:val="21"/>
                <w:szCs w:val="21"/>
                <w:highlight w:val="none"/>
                <w:lang w:val="en-US" w:eastAsia="zh-CN" w:bidi="ar"/>
              </w:rPr>
            </w:pPr>
            <w:r>
              <w:rPr>
                <w:rFonts w:hint="eastAsia" w:ascii="宋体" w:hAnsi="宋体" w:cs="宋体"/>
                <w:color w:val="000000"/>
                <w:kern w:val="2"/>
                <w:sz w:val="21"/>
                <w:szCs w:val="21"/>
                <w:highlight w:val="none"/>
                <w:lang w:val="en-US" w:eastAsia="zh-CN" w:bidi="ar"/>
              </w:rPr>
              <w:t>②类：满足资格条件</w:t>
            </w:r>
            <w:r>
              <w:rPr>
                <w:rFonts w:hint="eastAsia" w:ascii="宋体" w:hAnsi="宋体" w:cs="宋体"/>
                <w:color w:val="000000"/>
                <w:sz w:val="21"/>
                <w:szCs w:val="21"/>
                <w:highlight w:val="none"/>
                <w:lang w:eastAsia="zh"/>
              </w:rPr>
              <w:t>附录4资格审查条件（主要人员最低要求</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项目组成员</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eastAsia="zh"/>
              </w:rPr>
              <w:t>）</w:t>
            </w:r>
            <w:r>
              <w:rPr>
                <w:rFonts w:hint="eastAsia" w:ascii="宋体" w:hAnsi="宋体" w:cs="宋体"/>
                <w:color w:val="000000"/>
                <w:sz w:val="21"/>
                <w:szCs w:val="21"/>
                <w:highlight w:val="none"/>
                <w:lang w:val="en-US" w:eastAsia="zh-CN"/>
              </w:rPr>
              <w:t>要求的</w:t>
            </w:r>
            <w:r>
              <w:rPr>
                <w:rFonts w:hint="eastAsia" w:ascii="宋体" w:hAnsi="宋体" w:eastAsia="宋体" w:cs="宋体"/>
                <w:color w:val="000000"/>
                <w:kern w:val="2"/>
                <w:sz w:val="21"/>
                <w:szCs w:val="21"/>
                <w:highlight w:val="none"/>
                <w:lang w:val="en-US" w:eastAsia="zh-CN" w:bidi="ar"/>
              </w:rPr>
              <w:t>项目组成员</w:t>
            </w:r>
            <w:r>
              <w:rPr>
                <w:rFonts w:hint="eastAsia" w:ascii="宋体" w:hAnsi="宋体" w:cs="宋体"/>
                <w:color w:val="000000"/>
                <w:kern w:val="2"/>
                <w:sz w:val="21"/>
                <w:szCs w:val="21"/>
                <w:highlight w:val="none"/>
                <w:lang w:val="en-US" w:eastAsia="zh-CN" w:bidi="ar"/>
              </w:rPr>
              <w:t>，</w:t>
            </w:r>
            <w:r>
              <w:rPr>
                <w:rFonts w:hint="eastAsia" w:ascii="宋体" w:hAnsi="宋体" w:cs="宋体"/>
                <w:color w:val="000000"/>
                <w:sz w:val="21"/>
                <w:szCs w:val="21"/>
                <w:highlight w:val="none"/>
                <w:lang w:eastAsia="zh"/>
              </w:rPr>
              <w:t>近</w:t>
            </w:r>
            <w:r>
              <w:rPr>
                <w:rFonts w:hint="eastAsia" w:ascii="宋体" w:hAnsi="宋体" w:cs="宋体"/>
                <w:color w:val="000000"/>
                <w:sz w:val="21"/>
                <w:szCs w:val="21"/>
                <w:highlight w:val="none"/>
                <w:lang w:val="en-US" w:eastAsia="zh-CN"/>
              </w:rPr>
              <w:t>5</w:t>
            </w:r>
            <w:r>
              <w:rPr>
                <w:rFonts w:hint="eastAsia" w:ascii="宋体" w:hAnsi="宋体" w:cs="宋体"/>
                <w:color w:val="000000"/>
                <w:sz w:val="21"/>
                <w:szCs w:val="21"/>
                <w:highlight w:val="none"/>
                <w:lang w:eastAsia="zh"/>
              </w:rPr>
              <w:t>年内（20</w:t>
            </w:r>
            <w:r>
              <w:rPr>
                <w:rFonts w:hint="eastAsia" w:ascii="宋体" w:hAnsi="宋体" w:cs="宋体"/>
                <w:color w:val="000000"/>
                <w:sz w:val="21"/>
                <w:szCs w:val="21"/>
                <w:highlight w:val="none"/>
                <w:lang w:val="en-US" w:eastAsia="zh-CN"/>
              </w:rPr>
              <w:t>19</w:t>
            </w:r>
            <w:r>
              <w:rPr>
                <w:rFonts w:hint="eastAsia" w:ascii="宋体" w:hAnsi="宋体" w:cs="宋体"/>
                <w:color w:val="000000"/>
                <w:sz w:val="21"/>
                <w:szCs w:val="21"/>
                <w:highlight w:val="none"/>
                <w:lang w:eastAsia="zh"/>
              </w:rPr>
              <w:t>年</w:t>
            </w:r>
            <w:r>
              <w:rPr>
                <w:rFonts w:hint="eastAsia" w:ascii="宋体" w:hAnsi="宋体" w:cs="宋体"/>
                <w:color w:val="000000"/>
                <w:sz w:val="21"/>
                <w:szCs w:val="21"/>
                <w:highlight w:val="none"/>
                <w:lang w:val="en-US" w:eastAsia="zh-CN"/>
              </w:rPr>
              <w:t>12月1日</w:t>
            </w:r>
            <w:r>
              <w:rPr>
                <w:rFonts w:hint="eastAsia" w:ascii="宋体" w:hAnsi="宋体" w:cs="宋体"/>
                <w:color w:val="000000"/>
                <w:sz w:val="21"/>
                <w:szCs w:val="21"/>
                <w:highlight w:val="none"/>
                <w:lang w:eastAsia="zh"/>
              </w:rPr>
              <w:t>至今）</w:t>
            </w:r>
            <w:r>
              <w:rPr>
                <w:rFonts w:hint="eastAsia" w:ascii="宋体" w:hAnsi="宋体" w:cs="宋体"/>
                <w:color w:val="000000"/>
                <w:sz w:val="21"/>
                <w:szCs w:val="21"/>
                <w:highlight w:val="none"/>
                <w:lang w:val="en-US" w:eastAsia="zh-CN"/>
              </w:rPr>
              <w:t>以合同签订时间为准，</w:t>
            </w:r>
            <w:r>
              <w:rPr>
                <w:rFonts w:hint="eastAsia" w:ascii="宋体" w:hAnsi="宋体" w:eastAsia="宋体" w:cs="宋体"/>
                <w:color w:val="000000"/>
                <w:kern w:val="2"/>
                <w:sz w:val="21"/>
                <w:szCs w:val="21"/>
                <w:highlight w:val="none"/>
                <w:lang w:val="en-US" w:eastAsia="zh-CN" w:bidi="ar"/>
              </w:rPr>
              <w:t>每增加1项科技创新规划编制咨询</w:t>
            </w:r>
            <w:r>
              <w:rPr>
                <w:rFonts w:hint="eastAsia" w:ascii="宋体" w:hAnsi="宋体" w:cs="宋体"/>
                <w:color w:val="000000"/>
                <w:kern w:val="2"/>
                <w:sz w:val="21"/>
                <w:szCs w:val="21"/>
                <w:highlight w:val="none"/>
                <w:lang w:val="en-US" w:eastAsia="zh-CN" w:bidi="ar"/>
              </w:rPr>
              <w:t>业绩，</w:t>
            </w:r>
            <w:r>
              <w:rPr>
                <w:rFonts w:hint="eastAsia" w:ascii="宋体" w:hAnsi="宋体" w:eastAsia="宋体" w:cs="宋体"/>
                <w:color w:val="000000"/>
                <w:kern w:val="2"/>
                <w:sz w:val="21"/>
                <w:szCs w:val="21"/>
                <w:highlight w:val="none"/>
                <w:lang w:val="en-US" w:eastAsia="zh-CN" w:bidi="ar"/>
              </w:rPr>
              <w:t>加0.5分</w:t>
            </w:r>
            <w:r>
              <w:rPr>
                <w:rFonts w:hint="eastAsia" w:ascii="宋体" w:hAnsi="宋体" w:cs="宋体"/>
                <w:color w:val="000000"/>
                <w:kern w:val="2"/>
                <w:sz w:val="21"/>
                <w:szCs w:val="21"/>
                <w:highlight w:val="none"/>
                <w:lang w:val="en-US" w:eastAsia="zh-CN" w:bidi="ar"/>
              </w:rPr>
              <w:t>；最多加1</w:t>
            </w:r>
            <w:r>
              <w:rPr>
                <w:rFonts w:hint="eastAsia" w:ascii="宋体" w:hAnsi="宋体" w:eastAsia="宋体" w:cs="宋体"/>
                <w:color w:val="000000"/>
                <w:kern w:val="2"/>
                <w:sz w:val="21"/>
                <w:szCs w:val="21"/>
                <w:highlight w:val="none"/>
                <w:lang w:val="en-US" w:eastAsia="zh-CN" w:bidi="ar"/>
              </w:rPr>
              <w:t>分</w:t>
            </w:r>
            <w:r>
              <w:rPr>
                <w:rFonts w:hint="eastAsia" w:ascii="宋体" w:hAnsi="宋体" w:cs="宋体"/>
                <w:color w:val="000000"/>
                <w:kern w:val="2"/>
                <w:sz w:val="21"/>
                <w:szCs w:val="21"/>
                <w:highlight w:val="none"/>
                <w:lang w:val="en-US" w:eastAsia="zh-CN" w:bidi="ar"/>
              </w:rPr>
              <w:t>。</w:t>
            </w:r>
          </w:p>
        </w:tc>
      </w:tr>
      <w:tr w14:paraId="483F1A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95" w:hRule="atLeast"/>
        </w:trPr>
        <w:tc>
          <w:tcPr>
            <w:tcW w:w="628" w:type="dxa"/>
            <w:vMerge w:val="continue"/>
            <w:vAlign w:val="center"/>
          </w:tcPr>
          <w:p w14:paraId="251B679F">
            <w:pPr>
              <w:keepNext w:val="0"/>
              <w:keepLines w:val="0"/>
              <w:widowControl w:val="0"/>
              <w:suppressLineNumbers w:val="0"/>
              <w:snapToGrid w:val="0"/>
              <w:spacing w:before="0" w:beforeAutospacing="0" w:after="0" w:afterAutospacing="0" w:line="264" w:lineRule="auto"/>
              <w:ind w:left="0" w:right="0"/>
              <w:jc w:val="both"/>
              <w:rPr>
                <w:rFonts w:hint="eastAsia" w:ascii="宋体" w:hAnsi="宋体" w:eastAsia="宋体" w:cs="宋体"/>
                <w:color w:val="000000"/>
                <w:kern w:val="2"/>
                <w:sz w:val="21"/>
                <w:szCs w:val="21"/>
                <w:highlight w:val="none"/>
                <w:lang w:val="en-US" w:eastAsia="zh-CN" w:bidi="ar"/>
              </w:rPr>
            </w:pPr>
          </w:p>
        </w:tc>
        <w:tc>
          <w:tcPr>
            <w:tcW w:w="659" w:type="dxa"/>
            <w:vMerge w:val="continue"/>
            <w:vAlign w:val="center"/>
          </w:tcPr>
          <w:p w14:paraId="721C5091">
            <w:pPr>
              <w:keepNext w:val="0"/>
              <w:keepLines w:val="0"/>
              <w:widowControl w:val="0"/>
              <w:suppressLineNumbers w:val="0"/>
              <w:snapToGrid w:val="0"/>
              <w:spacing w:before="0" w:beforeAutospacing="0" w:after="0" w:afterAutospacing="0" w:line="264" w:lineRule="auto"/>
              <w:ind w:left="0" w:right="0"/>
              <w:jc w:val="both"/>
              <w:rPr>
                <w:rFonts w:hint="eastAsia" w:ascii="宋体" w:hAnsi="宋体" w:eastAsia="宋体" w:cs="宋体"/>
                <w:color w:val="000000"/>
                <w:kern w:val="2"/>
                <w:sz w:val="21"/>
                <w:szCs w:val="21"/>
                <w:highlight w:val="none"/>
                <w:lang w:val="en-US" w:eastAsia="zh-CN" w:bidi="ar"/>
              </w:rPr>
            </w:pPr>
          </w:p>
        </w:tc>
        <w:tc>
          <w:tcPr>
            <w:tcW w:w="545" w:type="dxa"/>
            <w:vMerge w:val="continue"/>
            <w:vAlign w:val="center"/>
          </w:tcPr>
          <w:p w14:paraId="7AEC632E">
            <w:pPr>
              <w:keepNext w:val="0"/>
              <w:keepLines w:val="0"/>
              <w:widowControl w:val="0"/>
              <w:suppressLineNumbers w:val="0"/>
              <w:snapToGrid w:val="0"/>
              <w:spacing w:before="0" w:beforeAutospacing="0" w:after="0" w:afterAutospacing="0" w:line="264" w:lineRule="auto"/>
              <w:ind w:left="0" w:right="0"/>
              <w:jc w:val="both"/>
              <w:rPr>
                <w:rFonts w:hint="eastAsia" w:ascii="宋体" w:hAnsi="宋体" w:eastAsia="宋体" w:cs="宋体"/>
                <w:color w:val="000000"/>
                <w:kern w:val="2"/>
                <w:sz w:val="21"/>
                <w:szCs w:val="21"/>
                <w:highlight w:val="none"/>
                <w:lang w:val="en-US" w:eastAsia="zh-CN" w:bidi="ar"/>
              </w:rPr>
            </w:pPr>
          </w:p>
        </w:tc>
        <w:tc>
          <w:tcPr>
            <w:tcW w:w="871" w:type="dxa"/>
            <w:vMerge w:val="continue"/>
            <w:vAlign w:val="center"/>
          </w:tcPr>
          <w:p w14:paraId="34F712EA">
            <w:pPr>
              <w:keepNext w:val="0"/>
              <w:keepLines w:val="0"/>
              <w:widowControl w:val="0"/>
              <w:suppressLineNumbers w:val="0"/>
              <w:snapToGrid w:val="0"/>
              <w:spacing w:before="0" w:beforeAutospacing="0" w:after="0" w:afterAutospacing="0" w:line="264" w:lineRule="auto"/>
              <w:ind w:left="0" w:right="0"/>
              <w:jc w:val="both"/>
              <w:rPr>
                <w:rFonts w:hint="eastAsia" w:ascii="宋体" w:hAnsi="宋体" w:eastAsia="宋体" w:cs="宋体"/>
                <w:color w:val="000000"/>
                <w:kern w:val="2"/>
                <w:sz w:val="21"/>
                <w:szCs w:val="21"/>
                <w:highlight w:val="none"/>
                <w:lang w:val="en-US" w:eastAsia="zh-CN" w:bidi="ar"/>
              </w:rPr>
            </w:pPr>
          </w:p>
        </w:tc>
        <w:tc>
          <w:tcPr>
            <w:tcW w:w="706" w:type="dxa"/>
            <w:vMerge w:val="continue"/>
            <w:vAlign w:val="center"/>
          </w:tcPr>
          <w:p w14:paraId="63B4435F">
            <w:pPr>
              <w:keepNext w:val="0"/>
              <w:keepLines w:val="0"/>
              <w:widowControl w:val="0"/>
              <w:suppressLineNumbers w:val="0"/>
              <w:snapToGrid w:val="0"/>
              <w:spacing w:before="0" w:beforeAutospacing="0" w:after="0" w:afterAutospacing="0" w:line="264" w:lineRule="auto"/>
              <w:ind w:left="0" w:right="0"/>
              <w:jc w:val="both"/>
              <w:rPr>
                <w:rFonts w:hint="eastAsia" w:ascii="宋体" w:hAnsi="宋体" w:eastAsia="宋体" w:cs="宋体"/>
                <w:color w:val="000000"/>
                <w:kern w:val="2"/>
                <w:sz w:val="21"/>
                <w:szCs w:val="21"/>
                <w:highlight w:val="none"/>
                <w:lang w:val="en-US" w:eastAsia="zh-CN" w:bidi="ar"/>
              </w:rPr>
            </w:pPr>
          </w:p>
        </w:tc>
        <w:tc>
          <w:tcPr>
            <w:tcW w:w="565" w:type="dxa"/>
            <w:vMerge w:val="continue"/>
            <w:vAlign w:val="center"/>
          </w:tcPr>
          <w:p w14:paraId="346EF956">
            <w:pPr>
              <w:keepNext w:val="0"/>
              <w:keepLines w:val="0"/>
              <w:widowControl w:val="0"/>
              <w:suppressLineNumbers w:val="0"/>
              <w:snapToGrid w:val="0"/>
              <w:spacing w:before="0" w:beforeAutospacing="0" w:after="0" w:afterAutospacing="0" w:line="264" w:lineRule="auto"/>
              <w:ind w:left="0" w:right="0"/>
              <w:jc w:val="both"/>
              <w:rPr>
                <w:rFonts w:hint="eastAsia" w:ascii="宋体" w:hAnsi="宋体" w:eastAsia="宋体" w:cs="宋体"/>
                <w:color w:val="000000"/>
                <w:kern w:val="2"/>
                <w:sz w:val="21"/>
                <w:szCs w:val="21"/>
                <w:highlight w:val="none"/>
                <w:lang w:val="en-US" w:eastAsia="zh-CN" w:bidi="ar"/>
              </w:rPr>
            </w:pPr>
          </w:p>
        </w:tc>
        <w:tc>
          <w:tcPr>
            <w:tcW w:w="5510" w:type="dxa"/>
            <w:tcBorders>
              <w:top w:val="single" w:color="auto" w:sz="4" w:space="0"/>
            </w:tcBorders>
            <w:vAlign w:val="center"/>
          </w:tcPr>
          <w:p w14:paraId="4056CD7A">
            <w:pPr>
              <w:keepNext w:val="0"/>
              <w:keepLines w:val="0"/>
              <w:widowControl w:val="0"/>
              <w:suppressLineNumbers w:val="0"/>
              <w:snapToGrid w:val="0"/>
              <w:spacing w:before="0" w:beforeAutospacing="0" w:after="0" w:afterAutospacing="0" w:line="264" w:lineRule="auto"/>
              <w:ind w:left="0" w:right="0"/>
              <w:jc w:val="both"/>
              <w:rPr>
                <w:rFonts w:hint="eastAsia" w:ascii="宋体" w:hAnsi="宋体" w:eastAsia="宋体" w:cs="宋体"/>
                <w:color w:val="000000"/>
                <w:kern w:val="2"/>
                <w:sz w:val="21"/>
                <w:szCs w:val="21"/>
                <w:highlight w:val="none"/>
                <w:lang w:val="en-US" w:eastAsia="zh-CN" w:bidi="ar"/>
              </w:rPr>
            </w:pPr>
            <w:r>
              <w:rPr>
                <w:rFonts w:hint="eastAsia" w:ascii="宋体" w:hAnsi="宋体" w:cs="宋体"/>
                <w:color w:val="000000"/>
                <w:kern w:val="2"/>
                <w:sz w:val="21"/>
                <w:szCs w:val="21"/>
                <w:highlight w:val="none"/>
                <w:lang w:val="en-US" w:eastAsia="zh-CN" w:bidi="ar"/>
              </w:rPr>
              <w:t>③类：满足资格条件</w:t>
            </w:r>
            <w:r>
              <w:rPr>
                <w:rFonts w:hint="eastAsia" w:ascii="宋体" w:hAnsi="宋体" w:cs="宋体"/>
                <w:color w:val="000000"/>
                <w:sz w:val="21"/>
                <w:szCs w:val="21"/>
                <w:highlight w:val="none"/>
                <w:lang w:eastAsia="zh"/>
              </w:rPr>
              <w:t>附录4资格审查条件（主要人员最低要求</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项目组成员</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eastAsia="zh"/>
              </w:rPr>
              <w:t>）</w:t>
            </w:r>
            <w:r>
              <w:rPr>
                <w:rFonts w:hint="eastAsia" w:ascii="宋体" w:hAnsi="宋体" w:cs="宋体"/>
                <w:color w:val="000000"/>
                <w:sz w:val="21"/>
                <w:szCs w:val="21"/>
                <w:highlight w:val="none"/>
                <w:lang w:val="en-US" w:eastAsia="zh-CN"/>
              </w:rPr>
              <w:t>要求的</w:t>
            </w:r>
            <w:r>
              <w:rPr>
                <w:rFonts w:hint="eastAsia" w:ascii="宋体" w:hAnsi="宋体" w:eastAsia="宋体" w:cs="宋体"/>
                <w:color w:val="000000"/>
                <w:kern w:val="2"/>
                <w:sz w:val="21"/>
                <w:szCs w:val="21"/>
                <w:highlight w:val="none"/>
                <w:lang w:val="en-US" w:eastAsia="zh-CN" w:bidi="ar"/>
              </w:rPr>
              <w:t>项目组成员</w:t>
            </w:r>
            <w:r>
              <w:rPr>
                <w:rFonts w:hint="eastAsia" w:ascii="宋体" w:hAnsi="宋体" w:cs="宋体"/>
                <w:color w:val="000000"/>
                <w:kern w:val="2"/>
                <w:sz w:val="21"/>
                <w:szCs w:val="21"/>
                <w:highlight w:val="none"/>
                <w:lang w:val="en-US" w:eastAsia="zh-CN" w:bidi="ar"/>
              </w:rPr>
              <w:t>，</w:t>
            </w:r>
            <w:r>
              <w:rPr>
                <w:rFonts w:hint="eastAsia" w:ascii="宋体" w:hAnsi="宋体" w:cs="宋体"/>
                <w:color w:val="000000"/>
                <w:sz w:val="21"/>
                <w:szCs w:val="21"/>
                <w:highlight w:val="none"/>
                <w:lang w:eastAsia="zh"/>
              </w:rPr>
              <w:t>近</w:t>
            </w:r>
            <w:r>
              <w:rPr>
                <w:rFonts w:hint="eastAsia" w:ascii="宋体" w:hAnsi="宋体" w:cs="宋体"/>
                <w:color w:val="000000"/>
                <w:sz w:val="21"/>
                <w:szCs w:val="21"/>
                <w:highlight w:val="none"/>
                <w:lang w:val="en-US" w:eastAsia="zh-CN"/>
              </w:rPr>
              <w:t>5</w:t>
            </w:r>
            <w:r>
              <w:rPr>
                <w:rFonts w:hint="eastAsia" w:ascii="宋体" w:hAnsi="宋体" w:cs="宋体"/>
                <w:color w:val="000000"/>
                <w:sz w:val="21"/>
                <w:szCs w:val="21"/>
                <w:highlight w:val="none"/>
                <w:lang w:eastAsia="zh"/>
              </w:rPr>
              <w:t>年内（20</w:t>
            </w:r>
            <w:r>
              <w:rPr>
                <w:rFonts w:hint="eastAsia" w:ascii="宋体" w:hAnsi="宋体" w:cs="宋体"/>
                <w:color w:val="000000"/>
                <w:sz w:val="21"/>
                <w:szCs w:val="21"/>
                <w:highlight w:val="none"/>
                <w:lang w:val="en-US" w:eastAsia="zh-CN"/>
              </w:rPr>
              <w:t>19</w:t>
            </w:r>
            <w:r>
              <w:rPr>
                <w:rFonts w:hint="eastAsia" w:ascii="宋体" w:hAnsi="宋体" w:cs="宋体"/>
                <w:color w:val="000000"/>
                <w:sz w:val="21"/>
                <w:szCs w:val="21"/>
                <w:highlight w:val="none"/>
                <w:lang w:eastAsia="zh"/>
              </w:rPr>
              <w:t>年</w:t>
            </w:r>
            <w:r>
              <w:rPr>
                <w:rFonts w:hint="eastAsia" w:ascii="宋体" w:hAnsi="宋体" w:cs="宋体"/>
                <w:color w:val="000000"/>
                <w:sz w:val="21"/>
                <w:szCs w:val="21"/>
                <w:highlight w:val="none"/>
                <w:lang w:val="en-US" w:eastAsia="zh-CN"/>
              </w:rPr>
              <w:t>12月1日</w:t>
            </w:r>
            <w:r>
              <w:rPr>
                <w:rFonts w:hint="eastAsia" w:ascii="宋体" w:hAnsi="宋体" w:cs="宋体"/>
                <w:color w:val="000000"/>
                <w:sz w:val="21"/>
                <w:szCs w:val="21"/>
                <w:highlight w:val="none"/>
                <w:lang w:eastAsia="zh"/>
              </w:rPr>
              <w:t>至今）</w:t>
            </w:r>
            <w:r>
              <w:rPr>
                <w:rFonts w:hint="eastAsia" w:ascii="宋体" w:hAnsi="宋体" w:cs="宋体"/>
                <w:color w:val="000000"/>
                <w:sz w:val="21"/>
                <w:szCs w:val="21"/>
                <w:highlight w:val="none"/>
                <w:lang w:val="en-US" w:eastAsia="zh-CN"/>
              </w:rPr>
              <w:t>以合同签订时间为准，</w:t>
            </w:r>
            <w:r>
              <w:rPr>
                <w:rFonts w:hint="eastAsia" w:ascii="宋体" w:hAnsi="宋体" w:eastAsia="宋体" w:cs="宋体"/>
                <w:color w:val="000000"/>
                <w:kern w:val="2"/>
                <w:sz w:val="21"/>
                <w:szCs w:val="21"/>
                <w:highlight w:val="none"/>
                <w:lang w:val="en-US" w:eastAsia="zh-CN" w:bidi="ar"/>
              </w:rPr>
              <w:t>每增加1项金融发展规划或方案编制咨询业绩</w:t>
            </w:r>
            <w:r>
              <w:rPr>
                <w:rFonts w:hint="eastAsia" w:ascii="宋体" w:hAnsi="宋体" w:cs="宋体"/>
                <w:color w:val="000000"/>
                <w:kern w:val="2"/>
                <w:sz w:val="21"/>
                <w:szCs w:val="21"/>
                <w:highlight w:val="none"/>
                <w:lang w:val="en-US" w:eastAsia="zh-CN" w:bidi="ar"/>
              </w:rPr>
              <w:t>，</w:t>
            </w:r>
            <w:r>
              <w:rPr>
                <w:rFonts w:hint="eastAsia" w:ascii="宋体" w:hAnsi="宋体" w:eastAsia="宋体" w:cs="宋体"/>
                <w:color w:val="000000"/>
                <w:kern w:val="2"/>
                <w:sz w:val="21"/>
                <w:szCs w:val="21"/>
                <w:highlight w:val="none"/>
                <w:lang w:val="en-US" w:eastAsia="zh-CN" w:bidi="ar"/>
              </w:rPr>
              <w:t>加0.5分</w:t>
            </w:r>
            <w:r>
              <w:rPr>
                <w:rFonts w:hint="eastAsia" w:ascii="宋体" w:hAnsi="宋体" w:cs="宋体"/>
                <w:color w:val="000000"/>
                <w:kern w:val="2"/>
                <w:sz w:val="21"/>
                <w:szCs w:val="21"/>
                <w:highlight w:val="none"/>
                <w:lang w:val="en-US" w:eastAsia="zh-CN" w:bidi="ar"/>
              </w:rPr>
              <w:t>；最多加1</w:t>
            </w:r>
            <w:r>
              <w:rPr>
                <w:rFonts w:hint="eastAsia" w:ascii="宋体" w:hAnsi="宋体" w:eastAsia="宋体" w:cs="宋体"/>
                <w:color w:val="000000"/>
                <w:kern w:val="2"/>
                <w:sz w:val="21"/>
                <w:szCs w:val="21"/>
                <w:highlight w:val="none"/>
                <w:lang w:val="en-US" w:eastAsia="zh-CN" w:bidi="ar"/>
              </w:rPr>
              <w:t>分</w:t>
            </w:r>
            <w:r>
              <w:rPr>
                <w:rFonts w:hint="eastAsia" w:ascii="宋体" w:hAnsi="宋体" w:cs="宋体"/>
                <w:color w:val="000000"/>
                <w:kern w:val="2"/>
                <w:sz w:val="21"/>
                <w:szCs w:val="21"/>
                <w:highlight w:val="none"/>
                <w:lang w:val="en-US" w:eastAsia="zh-CN" w:bidi="ar"/>
              </w:rPr>
              <w:t>。</w:t>
            </w:r>
          </w:p>
        </w:tc>
      </w:tr>
      <w:tr w14:paraId="61846D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628" w:type="dxa"/>
            <w:vAlign w:val="center"/>
          </w:tcPr>
          <w:p w14:paraId="7D1DEE14">
            <w:pPr>
              <w:keepNext w:val="0"/>
              <w:keepLines w:val="0"/>
              <w:suppressLineNumbers w:val="0"/>
              <w:autoSpaceDE w:val="0"/>
              <w:autoSpaceDN w:val="0"/>
              <w:spacing w:before="0" w:beforeAutospacing="0" w:after="0" w:afterAutospacing="0"/>
              <w:ind w:left="0" w:right="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2.2.4（3）</w:t>
            </w:r>
          </w:p>
        </w:tc>
        <w:tc>
          <w:tcPr>
            <w:tcW w:w="659" w:type="dxa"/>
            <w:vAlign w:val="center"/>
          </w:tcPr>
          <w:p w14:paraId="3ECF58B4">
            <w:pPr>
              <w:keepNext w:val="0"/>
              <w:keepLines w:val="0"/>
              <w:suppressLineNumbers w:val="0"/>
              <w:autoSpaceDE w:val="0"/>
              <w:autoSpaceDN w:val="0"/>
              <w:spacing w:before="0" w:beforeAutospacing="0" w:after="0" w:afterAutospacing="0"/>
              <w:ind w:left="0" w:right="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评标价</w:t>
            </w:r>
          </w:p>
        </w:tc>
        <w:tc>
          <w:tcPr>
            <w:tcW w:w="545" w:type="dxa"/>
            <w:vAlign w:val="center"/>
          </w:tcPr>
          <w:p w14:paraId="498F0D19">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cs="宋体"/>
                <w:color w:val="000000"/>
                <w:kern w:val="0"/>
                <w:sz w:val="21"/>
                <w:szCs w:val="21"/>
                <w:lang w:val="en-US" w:eastAsia="zh-CN"/>
              </w:rPr>
              <w:t>5</w:t>
            </w:r>
            <w:r>
              <w:rPr>
                <w:rFonts w:hint="eastAsia" w:ascii="宋体" w:hAnsi="宋体" w:eastAsia="宋体" w:cs="宋体"/>
                <w:color w:val="000000"/>
                <w:kern w:val="0"/>
                <w:sz w:val="21"/>
                <w:szCs w:val="21"/>
              </w:rPr>
              <w:t>分</w:t>
            </w:r>
          </w:p>
        </w:tc>
        <w:tc>
          <w:tcPr>
            <w:tcW w:w="7652" w:type="dxa"/>
            <w:gridSpan w:val="4"/>
            <w:tcBorders>
              <w:top w:val="single" w:color="auto" w:sz="4" w:space="0"/>
            </w:tcBorders>
            <w:vAlign w:val="center"/>
          </w:tcPr>
          <w:p w14:paraId="632DD1A6">
            <w:pPr>
              <w:keepNext w:val="0"/>
              <w:keepLines w:val="0"/>
              <w:suppressLineNumbers w:val="0"/>
              <w:spacing w:before="0" w:beforeAutospacing="0" w:after="0" w:afterAutospacing="0"/>
              <w:ind w:left="0" w:right="0"/>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评标价得分计算公式：</w:t>
            </w:r>
          </w:p>
          <w:p w14:paraId="1121E821">
            <w:pPr>
              <w:keepNext w:val="0"/>
              <w:keepLines w:val="0"/>
              <w:suppressLineNumbers w:val="0"/>
              <w:spacing w:before="0" w:beforeAutospacing="0" w:after="0" w:afterAutospacing="0"/>
              <w:ind w:left="0" w:right="0"/>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（1）如果投标人的评标价＞评标基准价，则评标价得分=F-偏差率×100×E1；</w:t>
            </w:r>
          </w:p>
          <w:p w14:paraId="0020D747">
            <w:pPr>
              <w:keepNext w:val="0"/>
              <w:keepLines w:val="0"/>
              <w:suppressLineNumbers w:val="0"/>
              <w:spacing w:before="0" w:beforeAutospacing="0" w:after="0" w:afterAutospacing="0"/>
              <w:ind w:left="0" w:right="0"/>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（2）如果投标人的评标价≤评标基准价，则评标价得分=F+偏差率×100×E2。</w:t>
            </w:r>
          </w:p>
          <w:p w14:paraId="49038B34">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r>
              <w:rPr>
                <w:rFonts w:hint="eastAsia" w:ascii="宋体" w:hAnsi="宋体" w:cs="宋体"/>
                <w:color w:val="000000"/>
                <w:sz w:val="21"/>
                <w:szCs w:val="21"/>
                <w:highlight w:val="none"/>
                <w:lang w:val="en-US" w:eastAsia="zh-CN"/>
              </w:rPr>
              <w:t>其中，F=15；E1=0.2；E2=0.1；评标价最低得分为0分，保留2位小数。</w:t>
            </w:r>
          </w:p>
        </w:tc>
      </w:tr>
      <w:tr w14:paraId="0EC472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20" w:hRule="atLeast"/>
        </w:trPr>
        <w:tc>
          <w:tcPr>
            <w:tcW w:w="628" w:type="dxa"/>
            <w:vMerge w:val="restart"/>
            <w:vAlign w:val="center"/>
          </w:tcPr>
          <w:p w14:paraId="40CCCD73">
            <w:pPr>
              <w:keepNext w:val="0"/>
              <w:keepLines w:val="0"/>
              <w:suppressLineNumbers w:val="0"/>
              <w:autoSpaceDE w:val="0"/>
              <w:autoSpaceDN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2.2.4（4）</w:t>
            </w:r>
          </w:p>
        </w:tc>
        <w:tc>
          <w:tcPr>
            <w:tcW w:w="659" w:type="dxa"/>
            <w:vMerge w:val="restart"/>
            <w:vAlign w:val="center"/>
          </w:tcPr>
          <w:p w14:paraId="0C9A0749">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000000"/>
                <w:kern w:val="0"/>
                <w:sz w:val="21"/>
                <w:szCs w:val="21"/>
                <w:highlight w:val="none"/>
                <w:lang w:eastAsia="zh"/>
              </w:rPr>
            </w:pPr>
            <w:r>
              <w:rPr>
                <w:rFonts w:hint="eastAsia" w:ascii="宋体" w:hAnsi="宋体" w:cs="宋体"/>
                <w:color w:val="000000"/>
                <w:kern w:val="0"/>
                <w:sz w:val="21"/>
                <w:szCs w:val="21"/>
                <w:highlight w:val="none"/>
                <w:lang w:eastAsia="zh"/>
              </w:rPr>
              <w:t>企业</w:t>
            </w:r>
          </w:p>
          <w:p w14:paraId="5E3EABBA">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业绩</w:t>
            </w:r>
          </w:p>
        </w:tc>
        <w:tc>
          <w:tcPr>
            <w:tcW w:w="545" w:type="dxa"/>
            <w:vMerge w:val="restart"/>
            <w:vAlign w:val="center"/>
          </w:tcPr>
          <w:p w14:paraId="10460E78">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000000"/>
                <w:kern w:val="0"/>
                <w:sz w:val="21"/>
                <w:szCs w:val="21"/>
                <w:highlight w:val="none"/>
              </w:rPr>
            </w:pPr>
            <w:r>
              <w:rPr>
                <w:rFonts w:hint="eastAsia" w:ascii="宋体" w:hAnsi="宋体" w:cs="宋体"/>
                <w:color w:val="000000"/>
                <w:kern w:val="0"/>
                <w:sz w:val="21"/>
                <w:szCs w:val="21"/>
                <w:highlight w:val="none"/>
                <w:lang w:val="en-US" w:eastAsia="zh-CN"/>
              </w:rPr>
              <w:t>30</w:t>
            </w:r>
            <w:r>
              <w:rPr>
                <w:rFonts w:hint="eastAsia" w:ascii="宋体" w:hAnsi="宋体" w:eastAsia="宋体" w:cs="宋体"/>
                <w:color w:val="000000"/>
                <w:kern w:val="0"/>
                <w:sz w:val="21"/>
                <w:szCs w:val="21"/>
                <w:highlight w:val="none"/>
              </w:rPr>
              <w:t>分</w:t>
            </w:r>
          </w:p>
        </w:tc>
        <w:tc>
          <w:tcPr>
            <w:tcW w:w="1577" w:type="dxa"/>
            <w:gridSpan w:val="2"/>
            <w:tcBorders>
              <w:top w:val="single" w:color="auto" w:sz="4" w:space="0"/>
              <w:bottom w:val="single" w:color="auto" w:sz="4" w:space="0"/>
              <w:right w:val="single" w:color="auto" w:sz="4" w:space="0"/>
            </w:tcBorders>
            <w:vAlign w:val="center"/>
          </w:tcPr>
          <w:p w14:paraId="04D474C2">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满足资格审查条件</w:t>
            </w:r>
          </w:p>
        </w:tc>
        <w:tc>
          <w:tcPr>
            <w:tcW w:w="565" w:type="dxa"/>
            <w:tcBorders>
              <w:top w:val="single" w:color="auto" w:sz="4" w:space="0"/>
              <w:left w:val="single" w:color="auto" w:sz="4" w:space="0"/>
              <w:bottom w:val="single" w:color="auto" w:sz="4" w:space="0"/>
              <w:right w:val="single" w:color="auto" w:sz="4" w:space="0"/>
            </w:tcBorders>
            <w:vAlign w:val="center"/>
          </w:tcPr>
          <w:p w14:paraId="553CD4E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18</w:t>
            </w:r>
            <w:r>
              <w:rPr>
                <w:rFonts w:hint="eastAsia" w:ascii="宋体" w:hAnsi="宋体" w:eastAsia="宋体" w:cs="宋体"/>
                <w:color w:val="000000"/>
                <w:sz w:val="21"/>
                <w:szCs w:val="21"/>
                <w:highlight w:val="none"/>
              </w:rPr>
              <w:t>分</w:t>
            </w:r>
          </w:p>
        </w:tc>
        <w:tc>
          <w:tcPr>
            <w:tcW w:w="5510" w:type="dxa"/>
            <w:tcBorders>
              <w:top w:val="single" w:color="auto" w:sz="4" w:space="0"/>
              <w:left w:val="single" w:color="auto" w:sz="4" w:space="0"/>
              <w:bottom w:val="single" w:color="auto" w:sz="4" w:space="0"/>
            </w:tcBorders>
            <w:vAlign w:val="center"/>
          </w:tcPr>
          <w:p w14:paraId="28A6E45C">
            <w:pPr>
              <w:keepNext w:val="0"/>
              <w:keepLines w:val="0"/>
              <w:suppressLineNumbers w:val="0"/>
              <w:spacing w:before="0" w:beforeAutospacing="0" w:after="0" w:afterAutospacing="0"/>
              <w:ind w:left="0" w:right="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满足资格审查条件，得</w:t>
            </w:r>
            <w:r>
              <w:rPr>
                <w:rFonts w:hint="eastAsia" w:ascii="宋体" w:hAnsi="宋体" w:cs="宋体"/>
                <w:color w:val="000000"/>
                <w:sz w:val="21"/>
                <w:szCs w:val="21"/>
                <w:highlight w:val="none"/>
                <w:lang w:val="en-US" w:eastAsia="zh-CN"/>
              </w:rPr>
              <w:t>18</w:t>
            </w:r>
            <w:r>
              <w:rPr>
                <w:rFonts w:hint="eastAsia" w:ascii="宋体" w:hAnsi="宋体" w:eastAsia="宋体" w:cs="宋体"/>
                <w:color w:val="000000"/>
                <w:sz w:val="21"/>
                <w:szCs w:val="21"/>
                <w:highlight w:val="none"/>
              </w:rPr>
              <w:t>分</w:t>
            </w:r>
          </w:p>
        </w:tc>
      </w:tr>
      <w:tr w14:paraId="2FF253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2" w:hRule="atLeast"/>
        </w:trPr>
        <w:tc>
          <w:tcPr>
            <w:tcW w:w="628" w:type="dxa"/>
            <w:vMerge w:val="continue"/>
            <w:vAlign w:val="center"/>
          </w:tcPr>
          <w:p w14:paraId="5F201301">
            <w:pPr>
              <w:keepNext w:val="0"/>
              <w:keepLines w:val="0"/>
              <w:suppressLineNumbers w:val="0"/>
              <w:autoSpaceDE w:val="0"/>
              <w:autoSpaceDN w:val="0"/>
              <w:spacing w:before="0" w:beforeAutospacing="0" w:after="0" w:afterAutospacing="0"/>
              <w:ind w:left="0" w:right="0"/>
              <w:rPr>
                <w:rFonts w:hint="eastAsia" w:ascii="宋体" w:hAnsi="宋体" w:eastAsia="宋体" w:cs="宋体"/>
                <w:color w:val="auto"/>
                <w:kern w:val="0"/>
                <w:sz w:val="21"/>
                <w:szCs w:val="21"/>
                <w:highlight w:val="none"/>
              </w:rPr>
            </w:pPr>
          </w:p>
        </w:tc>
        <w:tc>
          <w:tcPr>
            <w:tcW w:w="659" w:type="dxa"/>
            <w:vMerge w:val="continue"/>
            <w:vAlign w:val="center"/>
          </w:tcPr>
          <w:p w14:paraId="37596C19">
            <w:pPr>
              <w:keepNext w:val="0"/>
              <w:keepLines w:val="0"/>
              <w:suppressLineNumbers w:val="0"/>
              <w:autoSpaceDE w:val="0"/>
              <w:autoSpaceDN w:val="0"/>
              <w:spacing w:before="0" w:beforeAutospacing="0" w:after="0" w:afterAutospacing="0"/>
              <w:ind w:left="0" w:right="0"/>
              <w:rPr>
                <w:rFonts w:hint="eastAsia" w:ascii="宋体" w:hAnsi="宋体" w:eastAsia="宋体" w:cs="宋体"/>
                <w:color w:val="000000"/>
                <w:kern w:val="0"/>
                <w:sz w:val="21"/>
                <w:szCs w:val="21"/>
                <w:highlight w:val="none"/>
              </w:rPr>
            </w:pPr>
          </w:p>
        </w:tc>
        <w:tc>
          <w:tcPr>
            <w:tcW w:w="545" w:type="dxa"/>
            <w:vMerge w:val="continue"/>
            <w:vAlign w:val="center"/>
          </w:tcPr>
          <w:p w14:paraId="2AF16218">
            <w:pPr>
              <w:keepNext w:val="0"/>
              <w:keepLines w:val="0"/>
              <w:suppressLineNumbers w:val="0"/>
              <w:autoSpaceDE w:val="0"/>
              <w:autoSpaceDN w:val="0"/>
              <w:spacing w:before="0" w:beforeAutospacing="0" w:after="0" w:afterAutospacing="0"/>
              <w:ind w:left="0" w:right="0"/>
              <w:rPr>
                <w:rFonts w:hint="eastAsia" w:ascii="宋体" w:hAnsi="宋体" w:eastAsia="宋体" w:cs="宋体"/>
                <w:color w:val="000000"/>
                <w:kern w:val="0"/>
                <w:sz w:val="21"/>
                <w:szCs w:val="21"/>
                <w:highlight w:val="none"/>
              </w:rPr>
            </w:pPr>
          </w:p>
        </w:tc>
        <w:tc>
          <w:tcPr>
            <w:tcW w:w="1577" w:type="dxa"/>
            <w:gridSpan w:val="2"/>
            <w:vMerge w:val="restart"/>
            <w:tcBorders>
              <w:top w:val="single" w:color="auto" w:sz="4" w:space="0"/>
              <w:right w:val="single" w:color="auto" w:sz="4" w:space="0"/>
            </w:tcBorders>
            <w:vAlign w:val="center"/>
          </w:tcPr>
          <w:p w14:paraId="7C6A101E">
            <w:pPr>
              <w:keepNext w:val="0"/>
              <w:keepLines w:val="0"/>
              <w:suppressLineNumbers w:val="0"/>
              <w:autoSpaceDE w:val="0"/>
              <w:autoSpaceDN w:val="0"/>
              <w:spacing w:before="0" w:beforeAutospacing="0" w:after="0" w:afterAutospacing="0"/>
              <w:ind w:left="0" w:right="0"/>
              <w:rPr>
                <w:rFonts w:hint="eastAsia" w:ascii="宋体" w:hAnsi="宋体" w:eastAsia="宋体" w:cs="Times New Roman"/>
                <w:color w:val="000000"/>
                <w:spacing w:val="0"/>
                <w:w w:val="100"/>
                <w:kern w:val="2"/>
                <w:sz w:val="21"/>
                <w:szCs w:val="21"/>
                <w:highlight w:val="none"/>
                <w:lang w:val="en-US" w:eastAsia="zh-CN" w:bidi="ar-SA"/>
              </w:rPr>
            </w:pPr>
            <w:r>
              <w:rPr>
                <w:rFonts w:hint="eastAsia" w:ascii="宋体" w:hAnsi="宋体" w:eastAsia="宋体" w:cs="Times New Roman"/>
                <w:color w:val="000000"/>
                <w:spacing w:val="0"/>
                <w:w w:val="100"/>
                <w:kern w:val="2"/>
                <w:sz w:val="21"/>
                <w:szCs w:val="21"/>
                <w:highlight w:val="none"/>
                <w:lang w:val="en-US" w:eastAsia="zh-CN" w:bidi="ar-SA"/>
              </w:rPr>
              <w:t>类似项目业绩</w:t>
            </w:r>
          </w:p>
        </w:tc>
        <w:tc>
          <w:tcPr>
            <w:tcW w:w="565" w:type="dxa"/>
            <w:vMerge w:val="restart"/>
            <w:tcBorders>
              <w:top w:val="single" w:color="auto" w:sz="4" w:space="0"/>
              <w:left w:val="single" w:color="auto" w:sz="4" w:space="0"/>
              <w:right w:val="single" w:color="auto" w:sz="4" w:space="0"/>
            </w:tcBorders>
            <w:vAlign w:val="center"/>
          </w:tcPr>
          <w:p w14:paraId="0814363E">
            <w:pPr>
              <w:pStyle w:val="6"/>
              <w:keepNext w:val="0"/>
              <w:keepLines w:val="0"/>
              <w:suppressLineNumbers w:val="0"/>
              <w:spacing w:before="0" w:beforeAutospacing="0" w:after="0" w:afterAutospacing="0"/>
              <w:ind w:left="0" w:right="0"/>
              <w:jc w:val="center"/>
              <w:rPr>
                <w:rFonts w:hint="eastAsia" w:ascii="宋体" w:hAnsi="宋体" w:eastAsia="宋体" w:cs="Times New Roman"/>
                <w:color w:val="000000"/>
                <w:spacing w:val="0"/>
                <w:w w:val="100"/>
                <w:kern w:val="2"/>
                <w:sz w:val="21"/>
                <w:szCs w:val="21"/>
                <w:highlight w:val="none"/>
                <w:lang w:val="en-US" w:eastAsia="zh-CN" w:bidi="ar-SA"/>
              </w:rPr>
            </w:pPr>
            <w:r>
              <w:rPr>
                <w:rFonts w:hint="eastAsia" w:cs="Times New Roman"/>
                <w:color w:val="000000"/>
                <w:spacing w:val="0"/>
                <w:w w:val="100"/>
                <w:kern w:val="2"/>
                <w:sz w:val="21"/>
                <w:szCs w:val="21"/>
                <w:highlight w:val="none"/>
                <w:lang w:val="en-US" w:eastAsia="zh-CN" w:bidi="ar-SA"/>
              </w:rPr>
              <w:t>12</w:t>
            </w:r>
            <w:r>
              <w:rPr>
                <w:rFonts w:hint="eastAsia" w:ascii="宋体" w:hAnsi="宋体" w:eastAsia="宋体" w:cs="Times New Roman"/>
                <w:color w:val="000000"/>
                <w:spacing w:val="0"/>
                <w:w w:val="100"/>
                <w:kern w:val="2"/>
                <w:sz w:val="21"/>
                <w:szCs w:val="21"/>
                <w:highlight w:val="none"/>
                <w:lang w:val="en-US" w:eastAsia="zh-CN" w:bidi="ar-SA"/>
              </w:rPr>
              <w:t>分</w:t>
            </w:r>
          </w:p>
        </w:tc>
        <w:tc>
          <w:tcPr>
            <w:tcW w:w="5510" w:type="dxa"/>
            <w:tcBorders>
              <w:top w:val="single" w:color="auto" w:sz="4" w:space="0"/>
              <w:left w:val="single" w:color="auto" w:sz="4" w:space="0"/>
              <w:bottom w:val="single" w:color="auto" w:sz="4" w:space="0"/>
            </w:tcBorders>
            <w:vAlign w:val="center"/>
          </w:tcPr>
          <w:p w14:paraId="24E1401E">
            <w:pPr>
              <w:keepNext w:val="0"/>
              <w:keepLines w:val="0"/>
              <w:suppressLineNumbers w:val="0"/>
              <w:snapToGrid w:val="0"/>
              <w:spacing w:before="0" w:beforeAutospacing="0" w:after="0" w:afterAutospacing="0" w:line="264" w:lineRule="auto"/>
              <w:ind w:left="0" w:right="0"/>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①类</w:t>
            </w:r>
            <w:r>
              <w:rPr>
                <w:rFonts w:hint="eastAsia" w:ascii="宋体" w:hAnsi="宋体" w:cs="宋体"/>
                <w:color w:val="000000"/>
                <w:kern w:val="2"/>
                <w:sz w:val="21"/>
                <w:szCs w:val="21"/>
                <w:highlight w:val="none"/>
                <w:lang w:val="en-US" w:eastAsia="zh-CN" w:bidi="ar"/>
              </w:rPr>
              <w:t>：</w:t>
            </w:r>
            <w:r>
              <w:rPr>
                <w:rFonts w:hint="eastAsia" w:ascii="宋体" w:hAnsi="宋体" w:cs="宋体"/>
                <w:color w:val="000000"/>
                <w:sz w:val="21"/>
                <w:szCs w:val="21"/>
                <w:highlight w:val="none"/>
                <w:lang w:eastAsia="zh"/>
              </w:rPr>
              <w:t>2019年</w:t>
            </w:r>
            <w:r>
              <w:rPr>
                <w:rFonts w:hint="eastAsia" w:ascii="宋体" w:hAnsi="宋体" w:cs="宋体"/>
                <w:color w:val="000000"/>
                <w:sz w:val="21"/>
                <w:szCs w:val="21"/>
                <w:highlight w:val="none"/>
                <w:lang w:eastAsia="zh-CN"/>
              </w:rPr>
              <w:t>12月1日</w:t>
            </w:r>
            <w:r>
              <w:rPr>
                <w:rFonts w:hint="eastAsia" w:ascii="宋体" w:hAnsi="宋体" w:eastAsia="宋体" w:cs="宋体"/>
                <w:color w:val="000000"/>
                <w:sz w:val="21"/>
                <w:szCs w:val="21"/>
                <w:highlight w:val="none"/>
              </w:rPr>
              <w:t>至今（以合同签订时间为准），</w:t>
            </w:r>
          </w:p>
          <w:p w14:paraId="73958053">
            <w:pPr>
              <w:keepNext w:val="0"/>
              <w:keepLines w:val="0"/>
              <w:suppressLineNumbers w:val="0"/>
              <w:snapToGrid w:val="0"/>
              <w:spacing w:before="0" w:beforeAutospacing="0" w:after="0" w:afterAutospacing="0" w:line="264" w:lineRule="auto"/>
              <w:ind w:left="0" w:right="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每</w:t>
            </w:r>
            <w:r>
              <w:rPr>
                <w:rFonts w:hint="eastAsia" w:ascii="宋体" w:hAnsi="宋体" w:cs="宋体"/>
                <w:color w:val="000000"/>
                <w:sz w:val="21"/>
                <w:szCs w:val="21"/>
                <w:highlight w:val="none"/>
                <w:lang w:val="en-US" w:eastAsia="zh-CN"/>
              </w:rPr>
              <w:t>完成</w:t>
            </w:r>
            <w:r>
              <w:rPr>
                <w:rFonts w:hint="eastAsia" w:ascii="宋体" w:hAnsi="宋体" w:cs="宋体"/>
                <w:color w:val="000000"/>
                <w:sz w:val="21"/>
                <w:szCs w:val="21"/>
                <w:highlight w:val="none"/>
                <w:lang w:val="en-US" w:eastAsia="zh"/>
              </w:rPr>
              <w:t>1项</w:t>
            </w:r>
            <w:r>
              <w:rPr>
                <w:rFonts w:hint="eastAsia" w:ascii="宋体" w:hAnsi="宋体" w:cs="宋体"/>
                <w:color w:val="000000"/>
                <w:sz w:val="21"/>
                <w:szCs w:val="21"/>
                <w:highlight w:val="none"/>
                <w:lang w:val="en-US" w:eastAsia="zh-CN"/>
              </w:rPr>
              <w:t>省级及以上</w:t>
            </w:r>
            <w:r>
              <w:rPr>
                <w:rFonts w:hint="eastAsia" w:ascii="宋体" w:hAnsi="宋体" w:cs="宋体"/>
                <w:color w:val="000000"/>
                <w:sz w:val="21"/>
                <w:szCs w:val="21"/>
                <w:highlight w:val="none"/>
                <w:lang w:val="en-US" w:eastAsia="zh"/>
              </w:rPr>
              <w:t>交通运输类公路行业企业五年或中长期战略规划编制</w:t>
            </w:r>
            <w:r>
              <w:rPr>
                <w:rFonts w:hint="eastAsia" w:ascii="宋体" w:hAnsi="宋体" w:cs="宋体"/>
                <w:color w:val="000000"/>
                <w:sz w:val="21"/>
                <w:szCs w:val="21"/>
                <w:highlight w:val="none"/>
                <w:lang w:val="en-US" w:eastAsia="zh-CN"/>
              </w:rPr>
              <w:t>咨询</w:t>
            </w:r>
            <w:r>
              <w:rPr>
                <w:rFonts w:hint="eastAsia" w:ascii="宋体" w:hAnsi="宋体"/>
                <w:color w:val="000000"/>
                <w:sz w:val="21"/>
                <w:szCs w:val="21"/>
                <w:highlight w:val="none"/>
                <w:lang w:eastAsia="zh"/>
              </w:rPr>
              <w:t>业绩</w:t>
            </w:r>
            <w:r>
              <w:rPr>
                <w:rFonts w:hint="eastAsia" w:ascii="宋体" w:hAnsi="宋体" w:cs="宋体"/>
                <w:color w:val="000000"/>
                <w:sz w:val="21"/>
                <w:szCs w:val="21"/>
                <w:highlight w:val="none"/>
                <w:lang w:val="en-US" w:eastAsia="zh-CN"/>
              </w:rPr>
              <w:t>的</w:t>
            </w:r>
            <w:r>
              <w:rPr>
                <w:rFonts w:hint="eastAsia" w:ascii="宋体" w:hAnsi="宋体" w:eastAsia="宋体" w:cs="宋体"/>
                <w:color w:val="000000"/>
                <w:sz w:val="21"/>
                <w:szCs w:val="21"/>
                <w:highlight w:val="none"/>
              </w:rPr>
              <w:t>加</w:t>
            </w: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rPr>
              <w:t>分</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本项最多加</w:t>
            </w:r>
            <w:r>
              <w:rPr>
                <w:rFonts w:hint="eastAsia" w:ascii="宋体" w:hAnsi="宋体" w:cs="宋体"/>
                <w:color w:val="000000"/>
                <w:sz w:val="21"/>
                <w:szCs w:val="21"/>
                <w:highlight w:val="none"/>
                <w:lang w:val="en-US" w:eastAsia="zh-CN"/>
              </w:rPr>
              <w:t>8</w:t>
            </w:r>
            <w:r>
              <w:rPr>
                <w:rFonts w:hint="eastAsia" w:ascii="宋体" w:hAnsi="宋体" w:eastAsia="宋体" w:cs="宋体"/>
                <w:color w:val="000000"/>
                <w:sz w:val="21"/>
                <w:szCs w:val="21"/>
                <w:highlight w:val="none"/>
              </w:rPr>
              <w:t>分</w:t>
            </w:r>
            <w:r>
              <w:rPr>
                <w:rFonts w:hint="eastAsia" w:ascii="宋体" w:hAnsi="宋体" w:cs="宋体"/>
                <w:color w:val="000000"/>
                <w:sz w:val="21"/>
                <w:szCs w:val="21"/>
                <w:highlight w:val="none"/>
                <w:lang w:eastAsia="zh-CN"/>
              </w:rPr>
              <w:t>。</w:t>
            </w:r>
          </w:p>
        </w:tc>
      </w:tr>
      <w:tr w14:paraId="5ACE6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2" w:hRule="atLeast"/>
        </w:trPr>
        <w:tc>
          <w:tcPr>
            <w:tcW w:w="628" w:type="dxa"/>
            <w:vMerge w:val="continue"/>
            <w:vAlign w:val="center"/>
          </w:tcPr>
          <w:p w14:paraId="11C5A65F">
            <w:pPr>
              <w:keepNext w:val="0"/>
              <w:keepLines w:val="0"/>
              <w:suppressLineNumbers w:val="0"/>
              <w:snapToGrid w:val="0"/>
              <w:spacing w:before="0" w:beforeAutospacing="0" w:after="0" w:afterAutospacing="0" w:line="264" w:lineRule="auto"/>
              <w:ind w:left="0" w:right="0"/>
              <w:rPr>
                <w:rFonts w:hint="default"/>
                <w:highlight w:val="none"/>
              </w:rPr>
            </w:pPr>
          </w:p>
        </w:tc>
        <w:tc>
          <w:tcPr>
            <w:tcW w:w="659" w:type="dxa"/>
            <w:vMerge w:val="continue"/>
            <w:vAlign w:val="center"/>
          </w:tcPr>
          <w:p w14:paraId="6BF30B24">
            <w:pPr>
              <w:keepNext w:val="0"/>
              <w:keepLines w:val="0"/>
              <w:suppressLineNumbers w:val="0"/>
              <w:snapToGrid w:val="0"/>
              <w:spacing w:before="0" w:beforeAutospacing="0" w:after="0" w:afterAutospacing="0" w:line="264" w:lineRule="auto"/>
              <w:ind w:left="0" w:right="0"/>
              <w:rPr>
                <w:rFonts w:hint="default"/>
                <w:highlight w:val="none"/>
              </w:rPr>
            </w:pPr>
          </w:p>
        </w:tc>
        <w:tc>
          <w:tcPr>
            <w:tcW w:w="545" w:type="dxa"/>
            <w:vMerge w:val="continue"/>
            <w:vAlign w:val="center"/>
          </w:tcPr>
          <w:p w14:paraId="659DF805">
            <w:pPr>
              <w:keepNext w:val="0"/>
              <w:keepLines w:val="0"/>
              <w:suppressLineNumbers w:val="0"/>
              <w:snapToGrid w:val="0"/>
              <w:spacing w:before="0" w:beforeAutospacing="0" w:after="0" w:afterAutospacing="0" w:line="264" w:lineRule="auto"/>
              <w:ind w:left="0" w:right="0"/>
              <w:rPr>
                <w:rFonts w:hint="default"/>
                <w:highlight w:val="none"/>
              </w:rPr>
            </w:pPr>
          </w:p>
        </w:tc>
        <w:tc>
          <w:tcPr>
            <w:tcW w:w="1577" w:type="dxa"/>
            <w:gridSpan w:val="2"/>
            <w:vMerge w:val="continue"/>
            <w:tcBorders>
              <w:right w:val="single" w:color="auto" w:sz="4" w:space="0"/>
            </w:tcBorders>
            <w:vAlign w:val="center"/>
          </w:tcPr>
          <w:p w14:paraId="69687428">
            <w:pPr>
              <w:keepNext w:val="0"/>
              <w:keepLines w:val="0"/>
              <w:suppressLineNumbers w:val="0"/>
              <w:snapToGrid w:val="0"/>
              <w:spacing w:before="0" w:beforeAutospacing="0" w:after="0" w:afterAutospacing="0" w:line="264" w:lineRule="auto"/>
              <w:ind w:left="0" w:right="0"/>
              <w:rPr>
                <w:rFonts w:hint="default"/>
                <w:highlight w:val="none"/>
              </w:rPr>
            </w:pPr>
          </w:p>
        </w:tc>
        <w:tc>
          <w:tcPr>
            <w:tcW w:w="565" w:type="dxa"/>
            <w:vMerge w:val="continue"/>
            <w:tcBorders>
              <w:left w:val="single" w:color="auto" w:sz="4" w:space="0"/>
              <w:right w:val="single" w:color="auto" w:sz="4" w:space="0"/>
            </w:tcBorders>
            <w:vAlign w:val="center"/>
          </w:tcPr>
          <w:p w14:paraId="38A7A72E">
            <w:pPr>
              <w:keepNext w:val="0"/>
              <w:keepLines w:val="0"/>
              <w:suppressLineNumbers w:val="0"/>
              <w:snapToGrid w:val="0"/>
              <w:spacing w:before="0" w:beforeAutospacing="0" w:after="0" w:afterAutospacing="0" w:line="264" w:lineRule="auto"/>
              <w:ind w:left="0" w:right="0"/>
              <w:rPr>
                <w:rFonts w:hint="default"/>
                <w:highlight w:val="none"/>
              </w:rPr>
            </w:pPr>
          </w:p>
        </w:tc>
        <w:tc>
          <w:tcPr>
            <w:tcW w:w="5510" w:type="dxa"/>
            <w:tcBorders>
              <w:top w:val="single" w:color="auto" w:sz="4" w:space="0"/>
              <w:left w:val="single" w:color="auto" w:sz="4" w:space="0"/>
              <w:bottom w:val="single" w:color="auto" w:sz="4" w:space="0"/>
            </w:tcBorders>
            <w:vAlign w:val="center"/>
          </w:tcPr>
          <w:p w14:paraId="2F052937">
            <w:pPr>
              <w:keepNext w:val="0"/>
              <w:keepLines w:val="0"/>
              <w:suppressLineNumbers w:val="0"/>
              <w:snapToGrid w:val="0"/>
              <w:spacing w:before="0" w:beforeAutospacing="0" w:after="0" w:afterAutospacing="0" w:line="264" w:lineRule="auto"/>
              <w:ind w:left="0" w:right="0"/>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②类</w:t>
            </w:r>
            <w:r>
              <w:rPr>
                <w:rFonts w:hint="eastAsia" w:ascii="宋体" w:hAnsi="宋体" w:cs="宋体"/>
                <w:color w:val="000000"/>
                <w:kern w:val="2"/>
                <w:sz w:val="21"/>
                <w:szCs w:val="21"/>
                <w:highlight w:val="none"/>
                <w:lang w:val="en-US" w:eastAsia="zh-CN" w:bidi="ar"/>
              </w:rPr>
              <w:t>：</w:t>
            </w:r>
            <w:r>
              <w:rPr>
                <w:rFonts w:hint="eastAsia" w:ascii="宋体" w:hAnsi="宋体" w:cs="宋体"/>
                <w:color w:val="000000"/>
                <w:sz w:val="21"/>
                <w:szCs w:val="21"/>
                <w:highlight w:val="none"/>
                <w:lang w:eastAsia="zh"/>
              </w:rPr>
              <w:t>2019年</w:t>
            </w:r>
            <w:r>
              <w:rPr>
                <w:rFonts w:hint="eastAsia" w:ascii="宋体" w:hAnsi="宋体" w:cs="宋体"/>
                <w:color w:val="000000"/>
                <w:sz w:val="21"/>
                <w:szCs w:val="21"/>
                <w:highlight w:val="none"/>
                <w:lang w:eastAsia="zh-CN"/>
              </w:rPr>
              <w:t>12月1日</w:t>
            </w:r>
            <w:r>
              <w:rPr>
                <w:rFonts w:hint="eastAsia" w:ascii="宋体" w:hAnsi="宋体" w:eastAsia="宋体" w:cs="宋体"/>
                <w:color w:val="000000"/>
                <w:sz w:val="21"/>
                <w:szCs w:val="21"/>
                <w:highlight w:val="none"/>
              </w:rPr>
              <w:t>至今（以合同签订时间为准），每</w:t>
            </w:r>
            <w:r>
              <w:rPr>
                <w:rFonts w:hint="eastAsia" w:ascii="宋体" w:hAnsi="宋体" w:eastAsia="宋体" w:cs="宋体"/>
                <w:color w:val="000000"/>
                <w:sz w:val="21"/>
                <w:szCs w:val="21"/>
                <w:highlight w:val="none"/>
                <w:lang w:eastAsia="zh-CN"/>
              </w:rPr>
              <w:t>增加</w:t>
            </w:r>
            <w:r>
              <w:rPr>
                <w:rFonts w:hint="eastAsia" w:ascii="宋体" w:hAnsi="宋体" w:eastAsia="宋体" w:cs="宋体"/>
                <w:color w:val="000000"/>
                <w:sz w:val="21"/>
                <w:szCs w:val="21"/>
                <w:highlight w:val="none"/>
              </w:rPr>
              <w:t>1项</w:t>
            </w:r>
            <w:r>
              <w:rPr>
                <w:rFonts w:hint="eastAsia" w:ascii="宋体" w:hAnsi="宋体" w:cs="宋体"/>
                <w:color w:val="000000"/>
                <w:sz w:val="21"/>
                <w:szCs w:val="21"/>
                <w:highlight w:val="none"/>
                <w:lang w:eastAsia="zh"/>
              </w:rPr>
              <w:t>科技创</w:t>
            </w:r>
            <w:r>
              <w:rPr>
                <w:rFonts w:hint="eastAsia" w:ascii="宋体" w:hAnsi="宋体" w:cs="宋体"/>
                <w:color w:val="000000"/>
                <w:sz w:val="21"/>
                <w:szCs w:val="21"/>
                <w:highlight w:val="none"/>
                <w:lang w:val="en-US" w:eastAsia="zh-CN"/>
              </w:rPr>
              <w:t>新</w:t>
            </w:r>
            <w:r>
              <w:rPr>
                <w:rFonts w:hint="eastAsia" w:ascii="宋体" w:hAnsi="宋体" w:cs="宋体"/>
                <w:color w:val="000000"/>
                <w:sz w:val="21"/>
                <w:szCs w:val="21"/>
                <w:highlight w:val="none"/>
                <w:lang w:eastAsia="zh"/>
              </w:rPr>
              <w:t>规划</w:t>
            </w:r>
            <w:r>
              <w:rPr>
                <w:rFonts w:hint="eastAsia" w:ascii="宋体" w:hAnsi="宋体" w:cs="宋体"/>
                <w:color w:val="000000"/>
                <w:sz w:val="21"/>
                <w:szCs w:val="21"/>
                <w:highlight w:val="none"/>
                <w:lang w:val="en-US" w:eastAsia="zh-CN"/>
              </w:rPr>
              <w:t>编制</w:t>
            </w:r>
            <w:r>
              <w:rPr>
                <w:rFonts w:hint="eastAsia" w:ascii="宋体" w:hAnsi="宋体" w:cs="宋体"/>
                <w:color w:val="000000"/>
                <w:kern w:val="2"/>
                <w:sz w:val="21"/>
                <w:szCs w:val="21"/>
                <w:highlight w:val="none"/>
                <w:lang w:val="en-US" w:eastAsia="zh-CN" w:bidi="ar"/>
              </w:rPr>
              <w:t>咨询</w:t>
            </w:r>
            <w:r>
              <w:rPr>
                <w:rFonts w:hint="eastAsia" w:ascii="宋体" w:hAnsi="宋体" w:cs="宋体"/>
                <w:color w:val="000000"/>
                <w:sz w:val="21"/>
                <w:szCs w:val="21"/>
                <w:highlight w:val="none"/>
                <w:lang w:val="en-US" w:eastAsia="zh-CN"/>
              </w:rPr>
              <w:t>业绩的</w:t>
            </w:r>
            <w:r>
              <w:rPr>
                <w:rFonts w:hint="eastAsia" w:ascii="宋体" w:hAnsi="宋体" w:eastAsia="宋体" w:cs="宋体"/>
                <w:color w:val="000000"/>
                <w:sz w:val="21"/>
                <w:szCs w:val="21"/>
                <w:highlight w:val="none"/>
              </w:rPr>
              <w:t>加</w:t>
            </w:r>
            <w:r>
              <w:rPr>
                <w:rFonts w:hint="eastAsia" w:ascii="宋体" w:hAnsi="宋体" w:cs="宋体"/>
                <w:color w:val="000000"/>
                <w:sz w:val="21"/>
                <w:szCs w:val="21"/>
                <w:highlight w:val="none"/>
                <w:lang w:eastAsia="zh"/>
              </w:rPr>
              <w:t>1</w:t>
            </w:r>
            <w:r>
              <w:rPr>
                <w:rFonts w:hint="eastAsia" w:ascii="宋体" w:hAnsi="宋体" w:eastAsia="宋体" w:cs="宋体"/>
                <w:color w:val="000000"/>
                <w:sz w:val="21"/>
                <w:szCs w:val="21"/>
                <w:highlight w:val="none"/>
              </w:rPr>
              <w:t>分，本项最多加</w:t>
            </w: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rPr>
              <w:t>分</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w:t>
            </w:r>
          </w:p>
        </w:tc>
      </w:tr>
      <w:tr w14:paraId="20EF20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2" w:hRule="atLeast"/>
        </w:trPr>
        <w:tc>
          <w:tcPr>
            <w:tcW w:w="628" w:type="dxa"/>
            <w:vMerge w:val="continue"/>
            <w:vAlign w:val="center"/>
          </w:tcPr>
          <w:p w14:paraId="11A66EC4">
            <w:pPr>
              <w:keepNext w:val="0"/>
              <w:keepLines w:val="0"/>
              <w:suppressLineNumbers w:val="0"/>
              <w:snapToGrid w:val="0"/>
              <w:spacing w:before="0" w:beforeAutospacing="0" w:after="0" w:afterAutospacing="0" w:line="264" w:lineRule="auto"/>
              <w:ind w:left="0" w:right="0"/>
              <w:rPr>
                <w:rFonts w:hint="eastAsia" w:ascii="宋体" w:hAnsi="宋体" w:cs="宋体"/>
                <w:color w:val="000000"/>
                <w:sz w:val="21"/>
                <w:szCs w:val="21"/>
                <w:highlight w:val="none"/>
                <w:lang w:eastAsia="zh"/>
              </w:rPr>
            </w:pPr>
          </w:p>
        </w:tc>
        <w:tc>
          <w:tcPr>
            <w:tcW w:w="659" w:type="dxa"/>
            <w:vMerge w:val="continue"/>
            <w:vAlign w:val="center"/>
          </w:tcPr>
          <w:p w14:paraId="056C77B5">
            <w:pPr>
              <w:keepNext w:val="0"/>
              <w:keepLines w:val="0"/>
              <w:suppressLineNumbers w:val="0"/>
              <w:snapToGrid w:val="0"/>
              <w:spacing w:before="0" w:beforeAutospacing="0" w:after="0" w:afterAutospacing="0" w:line="264" w:lineRule="auto"/>
              <w:ind w:left="0" w:right="0"/>
              <w:rPr>
                <w:rFonts w:hint="eastAsia" w:ascii="宋体" w:hAnsi="宋体" w:cs="宋体"/>
                <w:color w:val="000000"/>
                <w:sz w:val="21"/>
                <w:szCs w:val="21"/>
                <w:highlight w:val="none"/>
                <w:lang w:eastAsia="zh"/>
              </w:rPr>
            </w:pPr>
          </w:p>
        </w:tc>
        <w:tc>
          <w:tcPr>
            <w:tcW w:w="545" w:type="dxa"/>
            <w:vMerge w:val="continue"/>
            <w:vAlign w:val="center"/>
          </w:tcPr>
          <w:p w14:paraId="607CED18">
            <w:pPr>
              <w:keepNext w:val="0"/>
              <w:keepLines w:val="0"/>
              <w:suppressLineNumbers w:val="0"/>
              <w:snapToGrid w:val="0"/>
              <w:spacing w:before="0" w:beforeAutospacing="0" w:after="0" w:afterAutospacing="0" w:line="264" w:lineRule="auto"/>
              <w:ind w:left="0" w:right="0"/>
              <w:rPr>
                <w:rFonts w:hint="eastAsia" w:ascii="宋体" w:hAnsi="宋体" w:cs="宋体"/>
                <w:color w:val="000000"/>
                <w:sz w:val="21"/>
                <w:szCs w:val="21"/>
                <w:highlight w:val="none"/>
                <w:lang w:eastAsia="zh"/>
              </w:rPr>
            </w:pPr>
          </w:p>
        </w:tc>
        <w:tc>
          <w:tcPr>
            <w:tcW w:w="1577" w:type="dxa"/>
            <w:gridSpan w:val="2"/>
            <w:vMerge w:val="continue"/>
            <w:tcBorders>
              <w:bottom w:val="single" w:color="auto" w:sz="4" w:space="0"/>
              <w:right w:val="single" w:color="auto" w:sz="4" w:space="0"/>
            </w:tcBorders>
            <w:vAlign w:val="center"/>
          </w:tcPr>
          <w:p w14:paraId="1A3946B9">
            <w:pPr>
              <w:keepNext w:val="0"/>
              <w:keepLines w:val="0"/>
              <w:suppressLineNumbers w:val="0"/>
              <w:snapToGrid w:val="0"/>
              <w:spacing w:before="0" w:beforeAutospacing="0" w:after="0" w:afterAutospacing="0" w:line="264" w:lineRule="auto"/>
              <w:ind w:left="0" w:right="0"/>
              <w:rPr>
                <w:rFonts w:hint="eastAsia" w:ascii="宋体" w:hAnsi="宋体" w:cs="宋体"/>
                <w:color w:val="000000"/>
                <w:sz w:val="21"/>
                <w:szCs w:val="21"/>
                <w:highlight w:val="none"/>
                <w:lang w:eastAsia="zh"/>
              </w:rPr>
            </w:pPr>
          </w:p>
        </w:tc>
        <w:tc>
          <w:tcPr>
            <w:tcW w:w="565" w:type="dxa"/>
            <w:vMerge w:val="continue"/>
            <w:tcBorders>
              <w:left w:val="single" w:color="auto" w:sz="4" w:space="0"/>
              <w:bottom w:val="single" w:color="auto" w:sz="4" w:space="0"/>
              <w:right w:val="single" w:color="auto" w:sz="4" w:space="0"/>
            </w:tcBorders>
            <w:vAlign w:val="center"/>
          </w:tcPr>
          <w:p w14:paraId="2626D3C1">
            <w:pPr>
              <w:keepNext w:val="0"/>
              <w:keepLines w:val="0"/>
              <w:suppressLineNumbers w:val="0"/>
              <w:snapToGrid w:val="0"/>
              <w:spacing w:before="0" w:beforeAutospacing="0" w:after="0" w:afterAutospacing="0" w:line="264" w:lineRule="auto"/>
              <w:ind w:left="0" w:right="0"/>
              <w:rPr>
                <w:rFonts w:hint="eastAsia" w:ascii="宋体" w:hAnsi="宋体" w:cs="宋体"/>
                <w:color w:val="000000"/>
                <w:sz w:val="21"/>
                <w:szCs w:val="21"/>
                <w:highlight w:val="none"/>
                <w:lang w:eastAsia="zh"/>
              </w:rPr>
            </w:pPr>
          </w:p>
        </w:tc>
        <w:tc>
          <w:tcPr>
            <w:tcW w:w="5510" w:type="dxa"/>
            <w:tcBorders>
              <w:top w:val="single" w:color="auto" w:sz="4" w:space="0"/>
              <w:left w:val="single" w:color="auto" w:sz="4" w:space="0"/>
              <w:bottom w:val="single" w:color="auto" w:sz="4" w:space="0"/>
            </w:tcBorders>
            <w:vAlign w:val="center"/>
          </w:tcPr>
          <w:p w14:paraId="44771620">
            <w:pPr>
              <w:keepNext w:val="0"/>
              <w:keepLines w:val="0"/>
              <w:suppressLineNumbers w:val="0"/>
              <w:snapToGrid w:val="0"/>
              <w:spacing w:before="0" w:beforeAutospacing="0" w:after="0" w:afterAutospacing="0" w:line="264" w:lineRule="auto"/>
              <w:ind w:left="0" w:right="0"/>
              <w:rPr>
                <w:rFonts w:hint="eastAsia" w:ascii="宋体" w:hAnsi="宋体" w:cs="宋体"/>
                <w:color w:val="000000"/>
                <w:sz w:val="21"/>
                <w:szCs w:val="21"/>
                <w:highlight w:val="none"/>
                <w:lang w:eastAsia="zh"/>
              </w:rPr>
            </w:pPr>
            <w:r>
              <w:rPr>
                <w:rFonts w:hint="eastAsia" w:ascii="宋体" w:hAnsi="宋体" w:cs="宋体"/>
                <w:color w:val="000000"/>
                <w:sz w:val="21"/>
                <w:szCs w:val="21"/>
                <w:highlight w:val="none"/>
                <w:lang w:val="en-US" w:eastAsia="zh-CN"/>
              </w:rPr>
              <w:t>③类</w:t>
            </w:r>
            <w:r>
              <w:rPr>
                <w:rFonts w:hint="eastAsia" w:ascii="宋体" w:hAnsi="宋体" w:cs="宋体"/>
                <w:color w:val="000000"/>
                <w:kern w:val="2"/>
                <w:sz w:val="21"/>
                <w:szCs w:val="21"/>
                <w:highlight w:val="none"/>
                <w:lang w:val="en-US" w:eastAsia="zh-CN" w:bidi="ar"/>
              </w:rPr>
              <w:t>：</w:t>
            </w:r>
            <w:r>
              <w:rPr>
                <w:rFonts w:hint="eastAsia" w:ascii="宋体" w:hAnsi="宋体" w:cs="宋体"/>
                <w:color w:val="000000"/>
                <w:sz w:val="21"/>
                <w:szCs w:val="21"/>
                <w:highlight w:val="none"/>
                <w:lang w:eastAsia="zh"/>
              </w:rPr>
              <w:t>2019年</w:t>
            </w:r>
            <w:r>
              <w:rPr>
                <w:rFonts w:hint="eastAsia" w:ascii="宋体" w:hAnsi="宋体" w:cs="宋体"/>
                <w:color w:val="000000"/>
                <w:sz w:val="21"/>
                <w:szCs w:val="21"/>
                <w:highlight w:val="none"/>
                <w:lang w:eastAsia="zh-CN"/>
              </w:rPr>
              <w:t>12月1日</w:t>
            </w:r>
            <w:r>
              <w:rPr>
                <w:rFonts w:hint="eastAsia" w:ascii="宋体" w:hAnsi="宋体" w:eastAsia="宋体" w:cs="宋体"/>
                <w:color w:val="000000"/>
                <w:sz w:val="21"/>
                <w:szCs w:val="21"/>
                <w:highlight w:val="none"/>
              </w:rPr>
              <w:t>至今（以合同签订时间为准），每</w:t>
            </w:r>
            <w:r>
              <w:rPr>
                <w:rFonts w:hint="eastAsia" w:ascii="宋体" w:hAnsi="宋体" w:eastAsia="宋体" w:cs="宋体"/>
                <w:color w:val="000000"/>
                <w:sz w:val="21"/>
                <w:szCs w:val="21"/>
                <w:highlight w:val="none"/>
                <w:lang w:eastAsia="zh-CN"/>
              </w:rPr>
              <w:t>增加</w:t>
            </w:r>
            <w:r>
              <w:rPr>
                <w:rFonts w:hint="eastAsia" w:ascii="宋体" w:hAnsi="宋体"/>
                <w:color w:val="000000"/>
                <w:szCs w:val="21"/>
                <w:highlight w:val="none"/>
                <w:lang w:eastAsia="zh"/>
              </w:rPr>
              <w:t>1</w:t>
            </w:r>
            <w:r>
              <w:rPr>
                <w:rFonts w:hint="eastAsia" w:ascii="宋体" w:hAnsi="宋体"/>
                <w:color w:val="000000"/>
                <w:szCs w:val="21"/>
                <w:highlight w:val="none"/>
                <w:lang w:val="en-US" w:eastAsia="zh-CN"/>
              </w:rPr>
              <w:t>项</w:t>
            </w:r>
            <w:r>
              <w:rPr>
                <w:rFonts w:hint="eastAsia" w:ascii="宋体" w:hAnsi="宋体"/>
                <w:color w:val="000000"/>
                <w:szCs w:val="21"/>
                <w:highlight w:val="none"/>
                <w:lang w:eastAsia="zh"/>
              </w:rPr>
              <w:t>金融发展规划或方案</w:t>
            </w:r>
            <w:r>
              <w:rPr>
                <w:rFonts w:hint="eastAsia" w:ascii="宋体" w:hAnsi="宋体"/>
                <w:color w:val="000000"/>
                <w:szCs w:val="21"/>
                <w:highlight w:val="none"/>
                <w:lang w:val="en-US" w:eastAsia="zh-CN"/>
              </w:rPr>
              <w:t>编制</w:t>
            </w:r>
            <w:r>
              <w:rPr>
                <w:rFonts w:hint="eastAsia" w:ascii="宋体" w:hAnsi="宋体"/>
                <w:color w:val="auto"/>
                <w:szCs w:val="21"/>
                <w:highlight w:val="none"/>
              </w:rPr>
              <w:t>咨询</w:t>
            </w:r>
            <w:r>
              <w:rPr>
                <w:rFonts w:hint="eastAsia" w:ascii="宋体" w:hAnsi="宋体"/>
                <w:color w:val="auto"/>
                <w:szCs w:val="21"/>
                <w:highlight w:val="none"/>
                <w:lang w:val="en-US" w:eastAsia="zh-CN"/>
              </w:rPr>
              <w:t>业绩</w:t>
            </w:r>
            <w:r>
              <w:rPr>
                <w:rFonts w:hint="eastAsia" w:ascii="宋体" w:hAnsi="宋体" w:eastAsia="宋体" w:cs="宋体"/>
                <w:color w:val="000000"/>
                <w:sz w:val="21"/>
                <w:szCs w:val="21"/>
                <w:highlight w:val="none"/>
              </w:rPr>
              <w:t>加</w:t>
            </w:r>
            <w:r>
              <w:rPr>
                <w:rFonts w:hint="eastAsia" w:ascii="宋体" w:hAnsi="宋体" w:cs="宋体"/>
                <w:color w:val="000000"/>
                <w:sz w:val="21"/>
                <w:szCs w:val="21"/>
                <w:highlight w:val="none"/>
                <w:lang w:eastAsia="zh"/>
              </w:rPr>
              <w:t>1</w:t>
            </w:r>
            <w:r>
              <w:rPr>
                <w:rFonts w:hint="eastAsia" w:ascii="宋体" w:hAnsi="宋体" w:eastAsia="宋体" w:cs="宋体"/>
                <w:color w:val="000000"/>
                <w:sz w:val="21"/>
                <w:szCs w:val="21"/>
                <w:highlight w:val="none"/>
              </w:rPr>
              <w:t>分</w:t>
            </w:r>
            <w:r>
              <w:rPr>
                <w:rFonts w:hint="eastAsia" w:ascii="宋体" w:hAnsi="宋体" w:eastAsia="宋体" w:cs="宋体"/>
                <w:color w:val="000000"/>
                <w:sz w:val="21"/>
                <w:szCs w:val="21"/>
                <w:highlight w:val="none"/>
                <w:lang w:eastAsia="zh"/>
              </w:rPr>
              <w:t>，</w:t>
            </w:r>
            <w:r>
              <w:rPr>
                <w:rFonts w:hint="eastAsia" w:ascii="宋体" w:hAnsi="宋体" w:eastAsia="宋体" w:cs="宋体"/>
                <w:color w:val="000000"/>
                <w:sz w:val="21"/>
                <w:szCs w:val="21"/>
                <w:highlight w:val="none"/>
              </w:rPr>
              <w:t>本项最多加</w:t>
            </w:r>
            <w:r>
              <w:rPr>
                <w:rFonts w:hint="eastAsia" w:ascii="宋体" w:hAnsi="宋体" w:cs="宋体"/>
                <w:color w:val="000000"/>
                <w:sz w:val="21"/>
                <w:szCs w:val="21"/>
                <w:highlight w:val="none"/>
                <w:lang w:eastAsia="zh"/>
              </w:rPr>
              <w:t>2</w:t>
            </w:r>
            <w:r>
              <w:rPr>
                <w:rFonts w:hint="eastAsia" w:ascii="宋体" w:hAnsi="宋体" w:eastAsia="宋体" w:cs="宋体"/>
                <w:color w:val="000000"/>
                <w:sz w:val="21"/>
                <w:szCs w:val="21"/>
                <w:highlight w:val="none"/>
              </w:rPr>
              <w:t>分</w:t>
            </w:r>
            <w:r>
              <w:rPr>
                <w:rFonts w:hint="eastAsia" w:ascii="宋体" w:hAnsi="宋体" w:cs="宋体"/>
                <w:color w:val="000000"/>
                <w:sz w:val="21"/>
                <w:szCs w:val="21"/>
                <w:highlight w:val="none"/>
                <w:lang w:eastAsia="zh"/>
              </w:rPr>
              <w:t>。</w:t>
            </w:r>
            <w:r>
              <w:rPr>
                <w:rFonts w:hint="eastAsia" w:ascii="宋体" w:hAnsi="宋体" w:eastAsia="宋体" w:cs="宋体"/>
                <w:color w:val="000000"/>
                <w:sz w:val="21"/>
                <w:szCs w:val="21"/>
                <w:highlight w:val="none"/>
              </w:rPr>
              <w:t xml:space="preserve"> </w:t>
            </w:r>
          </w:p>
        </w:tc>
      </w:tr>
    </w:tbl>
    <w:p w14:paraId="4189DC9D">
      <w:pPr>
        <w:rPr>
          <w:rFonts w:hint="eastAsia"/>
        </w:rPr>
      </w:pPr>
      <w:r>
        <w:rPr>
          <w:rFonts w:hint="eastAsia"/>
        </w:rPr>
        <w:t>注：1、技术部分各项得分应以评标委员会各成员的打分平均值确定；评委打分保留1位小数，汇总得分保留小数点后两位。</w:t>
      </w:r>
    </w:p>
    <w:p w14:paraId="2C35B3FA">
      <w:pPr>
        <w:rPr>
          <w:rFonts w:hint="eastAsia"/>
        </w:rPr>
      </w:pPr>
      <w:r>
        <w:rPr>
          <w:rFonts w:hint="eastAsia"/>
        </w:rPr>
        <w:t>2、技术部分各项评审因素细分项缺项则该项得0分。</w:t>
      </w:r>
    </w:p>
    <w:p w14:paraId="30173D1B">
      <w:pPr>
        <w:rPr>
          <w:rFonts w:hint="eastAsia" w:eastAsia="宋体"/>
          <w:lang w:eastAsia="zh-CN"/>
        </w:rPr>
      </w:pPr>
      <w:r>
        <w:rPr>
          <w:rFonts w:hint="eastAsia"/>
          <w:lang w:val="en-US" w:eastAsia="zh-CN"/>
        </w:rPr>
        <w:t>3.评标办法前附表</w:t>
      </w:r>
      <w:r>
        <w:rPr>
          <w:rFonts w:hint="eastAsia"/>
        </w:rPr>
        <w:t>2.2.4(2)和2.24(4)</w:t>
      </w:r>
      <w:r>
        <w:rPr>
          <w:rFonts w:hint="eastAsia"/>
          <w:lang w:val="en-US" w:eastAsia="zh-CN"/>
        </w:rPr>
        <w:t>的相关</w:t>
      </w:r>
      <w:r>
        <w:rPr>
          <w:rFonts w:hint="eastAsia"/>
        </w:rPr>
        <w:t>业绩</w:t>
      </w:r>
      <w:r>
        <w:rPr>
          <w:rFonts w:hint="eastAsia"/>
          <w:lang w:val="en-US" w:eastAsia="zh-CN"/>
        </w:rPr>
        <w:t>要求</w:t>
      </w:r>
      <w:r>
        <w:rPr>
          <w:rFonts w:hint="eastAsia"/>
        </w:rPr>
        <w:t>中，如投标人提供的单项业绩中包含多类项目，视为同时满足所对应业绩要求</w:t>
      </w:r>
      <w:r>
        <w:rPr>
          <w:rFonts w:hint="eastAsia"/>
          <w:lang w:eastAsia="zh-CN"/>
        </w:rPr>
        <w:t>。</w:t>
      </w:r>
    </w:p>
    <w:p w14:paraId="190230E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D965ED"/>
    <w:multiLevelType w:val="singleLevel"/>
    <w:tmpl w:val="E8D965E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673D31"/>
    <w:rsid w:val="07673D31"/>
    <w:rsid w:val="0BCB50E5"/>
    <w:rsid w:val="146C3A88"/>
    <w:rsid w:val="5F5F655E"/>
    <w:rsid w:val="651C4AD7"/>
    <w:rsid w:val="6FB21A5F"/>
    <w:rsid w:val="7DA21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100" w:beforeLines="0" w:beforeAutospacing="0" w:after="90" w:afterLines="0" w:afterAutospacing="0" w:line="576" w:lineRule="auto"/>
      <w:jc w:val="center"/>
      <w:outlineLvl w:val="0"/>
    </w:pPr>
    <w:rPr>
      <w:rFonts w:ascii="Arial" w:hAnsi="Arial" w:cs="Arial" w:eastAsiaTheme="majorEastAsia"/>
      <w:b/>
      <w:snapToGrid w:val="0"/>
      <w:color w:val="000000"/>
      <w:kern w:val="44"/>
      <w:sz w:val="44"/>
      <w:szCs w:val="21"/>
      <w:lang w:eastAsia="en-US"/>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toa heading"/>
    <w:basedOn w:val="1"/>
    <w:next w:val="1"/>
    <w:unhideWhenUsed/>
    <w:qFormat/>
    <w:uiPriority w:val="99"/>
    <w:pPr>
      <w:spacing w:before="120"/>
      <w:ind w:firstLine="560" w:firstLineChars="200"/>
    </w:pPr>
    <w:rPr>
      <w:rFonts w:ascii="Cambria" w:hAnsi="Cambria"/>
      <w:szCs w:val="24"/>
    </w:rPr>
  </w:style>
  <w:style w:type="paragraph" w:styleId="5">
    <w:name w:val="Body Text Indent"/>
    <w:basedOn w:val="1"/>
    <w:semiHidden/>
    <w:unhideWhenUsed/>
    <w:qFormat/>
    <w:uiPriority w:val="99"/>
    <w:pPr>
      <w:spacing w:after="120"/>
      <w:ind w:left="420" w:leftChars="200"/>
    </w:pPr>
  </w:style>
  <w:style w:type="paragraph" w:styleId="6">
    <w:name w:val="Plain Text"/>
    <w:basedOn w:val="1"/>
    <w:qFormat/>
    <w:uiPriority w:val="0"/>
    <w:pPr>
      <w:spacing w:line="300" w:lineRule="exact"/>
    </w:pPr>
    <w:rPr>
      <w:rFonts w:ascii="宋体" w:hAnsi="宋体" w:cs="宋体"/>
      <w:color w:val="FF0000"/>
      <w:spacing w:val="5"/>
      <w:w w:val="95"/>
      <w:kern w:val="0"/>
      <w:szCs w:val="21"/>
    </w:rPr>
  </w:style>
  <w:style w:type="paragraph" w:styleId="7">
    <w:name w:val="Body Text First Indent 2"/>
    <w:basedOn w:val="5"/>
    <w:semiHidden/>
    <w:unhideWhenUsed/>
    <w:qFormat/>
    <w:uiPriority w:val="99"/>
    <w:pPr>
      <w:ind w:firstLine="420" w:firstLineChars="200"/>
    </w:pPr>
  </w:style>
  <w:style w:type="paragraph" w:customStyle="1" w:styleId="10">
    <w:name w:val="样式30"/>
    <w:basedOn w:val="4"/>
    <w:autoRedefine/>
    <w:qFormat/>
    <w:uiPriority w:val="0"/>
    <w:pPr>
      <w:topLinePunct w:val="0"/>
      <w:spacing w:before="0" w:after="0" w:line="360" w:lineRule="auto"/>
      <w:ind w:firstLine="200" w:firstLineChars="200"/>
    </w:pPr>
    <w:rPr>
      <w:kern w:val="28"/>
      <w:sz w:val="24"/>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2931</Words>
  <Characters>3229</Characters>
  <Lines>0</Lines>
  <Paragraphs>0</Paragraphs>
  <TotalTime>8</TotalTime>
  <ScaleCrop>false</ScaleCrop>
  <LinksUpToDate>false</LinksUpToDate>
  <CharactersWithSpaces>3271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2024-12-12T06:27:00Z</dcterms:created>
  <dc:creator>张衷川</dc:creator>
  <cp:lastModifiedBy>李娜</cp:lastModifiedBy>
  <dcterms:modified xsi:type="dcterms:W3CDTF">2024-12-12T07:21:55Z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FC413D1DE63B4F9993C2AD5C914B7BA1_13</vt:lpwstr>
  </property>
</Properties>
</file>